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6EF" w:rsidRPr="00271449" w:rsidRDefault="00271449">
      <w:pPr>
        <w:pStyle w:val="Textoindependiente"/>
        <w:spacing w:before="6"/>
        <w:rPr>
          <w:sz w:val="17"/>
          <w:lang w:val="es-ES"/>
        </w:rPr>
      </w:pPr>
      <w:r w:rsidRPr="00271449">
        <w:rPr>
          <w:noProof/>
          <w:lang w:val="es-ES"/>
        </w:rPr>
        <w:drawing>
          <wp:anchor distT="0" distB="0" distL="0" distR="0" simplePos="0" relativeHeight="268428839" behindDoc="1" locked="0" layoutInCell="1" allowOverlap="1">
            <wp:simplePos x="0" y="0"/>
            <wp:positionH relativeFrom="page">
              <wp:posOffset>4714875</wp:posOffset>
            </wp:positionH>
            <wp:positionV relativeFrom="page">
              <wp:posOffset>2250439</wp:posOffset>
            </wp:positionV>
            <wp:extent cx="2845434" cy="2781300"/>
            <wp:effectExtent l="0" t="0" r="0" b="0"/>
            <wp:wrapNone/>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6" cstate="print"/>
                    <a:stretch>
                      <a:fillRect/>
                    </a:stretch>
                  </pic:blipFill>
                  <pic:spPr>
                    <a:xfrm>
                      <a:off x="0" y="0"/>
                      <a:ext cx="2845434" cy="2781300"/>
                    </a:xfrm>
                    <a:prstGeom prst="rect">
                      <a:avLst/>
                    </a:prstGeom>
                  </pic:spPr>
                </pic:pic>
              </a:graphicData>
            </a:graphic>
          </wp:anchor>
        </w:drawing>
      </w:r>
    </w:p>
    <w:p w:rsidR="003A76EF" w:rsidRPr="00271449" w:rsidRDefault="00271449">
      <w:pPr>
        <w:spacing w:before="88"/>
        <w:ind w:left="2004" w:right="175" w:hanging="1693"/>
        <w:rPr>
          <w:rFonts w:ascii="Arial" w:hAnsi="Arial"/>
          <w:b/>
          <w:sz w:val="36"/>
          <w:lang w:val="es-ES"/>
        </w:rPr>
      </w:pPr>
      <w:r w:rsidRPr="00271449">
        <w:rPr>
          <w:rFonts w:ascii="Arial" w:hAnsi="Arial"/>
          <w:b/>
          <w:sz w:val="36"/>
          <w:lang w:val="es-ES"/>
        </w:rPr>
        <w:t>Peli aligera la carga de los equipos de respuesta inmediata con la nueva maleta Peli™ Air 1465EMS</w:t>
      </w:r>
    </w:p>
    <w:p w:rsidR="003A76EF" w:rsidRPr="00271449" w:rsidRDefault="00271449">
      <w:pPr>
        <w:spacing w:before="222"/>
        <w:ind w:left="2398"/>
        <w:rPr>
          <w:rFonts w:ascii="Arial"/>
          <w:b/>
          <w:sz w:val="28"/>
          <w:lang w:val="es-ES"/>
        </w:rPr>
      </w:pPr>
      <w:r w:rsidRPr="00271449">
        <w:rPr>
          <w:rFonts w:ascii="Arial"/>
          <w:b/>
          <w:sz w:val="28"/>
          <w:lang w:val="es-ES"/>
        </w:rPr>
        <w:t>La maleta ligera para servicios de emergencias</w:t>
      </w:r>
    </w:p>
    <w:p w:rsidR="003A76EF" w:rsidRPr="00271449" w:rsidRDefault="003A76EF">
      <w:pPr>
        <w:pStyle w:val="Textoindependiente"/>
        <w:rPr>
          <w:rFonts w:ascii="Arial"/>
          <w:b/>
          <w:sz w:val="30"/>
          <w:lang w:val="es-ES"/>
        </w:rPr>
      </w:pPr>
    </w:p>
    <w:p w:rsidR="003A76EF" w:rsidRPr="00271449" w:rsidRDefault="003A76EF">
      <w:pPr>
        <w:pStyle w:val="Textoindependiente"/>
        <w:spacing w:before="1"/>
        <w:rPr>
          <w:rFonts w:ascii="Arial"/>
          <w:b/>
          <w:sz w:val="26"/>
          <w:lang w:val="es-ES"/>
        </w:rPr>
      </w:pPr>
    </w:p>
    <w:p w:rsidR="003A76EF" w:rsidRPr="00271449" w:rsidRDefault="00271449">
      <w:pPr>
        <w:pStyle w:val="Textoindependiente"/>
        <w:spacing w:line="360" w:lineRule="auto"/>
        <w:ind w:left="252" w:right="3034"/>
        <w:rPr>
          <w:lang w:val="es-ES"/>
        </w:rPr>
      </w:pPr>
      <w:r w:rsidRPr="00271449">
        <w:rPr>
          <w:b/>
          <w:lang w:val="es-ES"/>
        </w:rPr>
        <w:t xml:space="preserve">Barcelona, </w:t>
      </w:r>
      <w:r w:rsidR="00C22EEA">
        <w:rPr>
          <w:b/>
          <w:lang w:val="es-ES"/>
        </w:rPr>
        <w:t>julio</w:t>
      </w:r>
      <w:bookmarkStart w:id="0" w:name="_GoBack"/>
      <w:bookmarkEnd w:id="0"/>
      <w:r w:rsidRPr="00271449">
        <w:rPr>
          <w:b/>
          <w:lang w:val="es-ES"/>
        </w:rPr>
        <w:t xml:space="preserve"> de 2019</w:t>
      </w:r>
      <w:r w:rsidRPr="00271449">
        <w:rPr>
          <w:lang w:val="es-ES"/>
        </w:rPr>
        <w:t>. Cuando no haya un segundo que perder, los equipos de respuesta inmediata sin duda querrán tener consigo la nueva maleta Peli™ Air 1465EMS de alta resistencia y peso extremadamente bajo.</w:t>
      </w:r>
    </w:p>
    <w:p w:rsidR="003A76EF" w:rsidRPr="00271449" w:rsidRDefault="003A76EF">
      <w:pPr>
        <w:pStyle w:val="Textoindependiente"/>
        <w:spacing w:before="1"/>
        <w:rPr>
          <w:sz w:val="24"/>
          <w:lang w:val="es-ES"/>
        </w:rPr>
      </w:pPr>
    </w:p>
    <w:p w:rsidR="003A76EF" w:rsidRPr="00271449" w:rsidRDefault="00271449">
      <w:pPr>
        <w:pStyle w:val="Textoindependiente"/>
        <w:spacing w:before="1" w:line="360" w:lineRule="auto"/>
        <w:ind w:left="252" w:right="3650"/>
        <w:rPr>
          <w:lang w:val="es-ES"/>
        </w:rPr>
      </w:pPr>
      <w:r w:rsidRPr="00271449">
        <w:rPr>
          <w:lang w:val="es-ES"/>
        </w:rPr>
        <w:t>«Los profesionales de la respuesta en emergencias disponen de una fracción de segundo para tomar sus equipos y salir», comentó Pavel Levshin, Product Marketing Manager para la región EMEA. «Hemos trabajado codo con codo sobre el terreno con esos profesionales para desarrollar la Peli Air 1465EMS, una maleta extremadamente ligera que les permite llegar al lugar del suceso con la seguridad de que los medicamentos están en perfecto estado y listos para salvar</w:t>
      </w:r>
      <w:r w:rsidRPr="00271449">
        <w:rPr>
          <w:spacing w:val="-6"/>
          <w:lang w:val="es-ES"/>
        </w:rPr>
        <w:t xml:space="preserve"> </w:t>
      </w:r>
      <w:r w:rsidRPr="00271449">
        <w:rPr>
          <w:lang w:val="es-ES"/>
        </w:rPr>
        <w:t>vidas».</w:t>
      </w:r>
    </w:p>
    <w:p w:rsidR="003A76EF" w:rsidRPr="00271449" w:rsidRDefault="003A76EF">
      <w:pPr>
        <w:pStyle w:val="Textoindependiente"/>
        <w:spacing w:before="1"/>
        <w:rPr>
          <w:sz w:val="24"/>
          <w:lang w:val="es-ES"/>
        </w:rPr>
      </w:pPr>
    </w:p>
    <w:p w:rsidR="003A76EF" w:rsidRPr="00271449" w:rsidRDefault="00271449">
      <w:pPr>
        <w:pStyle w:val="Textoindependiente"/>
        <w:spacing w:line="360" w:lineRule="auto"/>
        <w:ind w:left="252" w:right="146"/>
        <w:rPr>
          <w:lang w:val="es-ES"/>
        </w:rPr>
      </w:pPr>
      <w:r w:rsidRPr="00271449">
        <w:rPr>
          <w:lang w:val="es-ES"/>
        </w:rPr>
        <w:t>La maleta Peli Air 1465EMS se puede lavar y esterilizar fácilmente, y está diseñada con una estructura de polímero Peli Air de próxima generación que la hace un 40 % más ligera que las maletas Peli™ Protector Case™ normales, lo que no le impide resistir las condiciones más adversas del planeta.</w:t>
      </w:r>
    </w:p>
    <w:p w:rsidR="003A76EF" w:rsidRPr="00271449" w:rsidRDefault="003A76EF">
      <w:pPr>
        <w:pStyle w:val="Textoindependiente"/>
        <w:spacing w:before="11"/>
        <w:rPr>
          <w:sz w:val="23"/>
          <w:lang w:val="es-ES"/>
        </w:rPr>
      </w:pPr>
    </w:p>
    <w:p w:rsidR="003A76EF" w:rsidRPr="00271449" w:rsidRDefault="00271449">
      <w:pPr>
        <w:pStyle w:val="Textoindependiente"/>
        <w:spacing w:line="360" w:lineRule="auto"/>
        <w:ind w:left="252" w:right="178"/>
        <w:rPr>
          <w:lang w:val="es-ES"/>
        </w:rPr>
      </w:pPr>
      <w:r w:rsidRPr="00271449">
        <w:rPr>
          <w:lang w:val="es-ES"/>
        </w:rPr>
        <w:t>La maleta Peli Air 1465EMS cuenta con un nuevo sistema personalizable de bandejas extraíbles de tres capas, dotado de soportes de acero inoxidable reforzado. Está disponible únicamente en color naranja, y cuenta entre sus características de serie con cierres de pulsar y tirar diseñados para resistir altas presiones pero abrirse con facilidad, y una tapa equipada con un anillo de sellado de polímero que crea una junta estanca y resistente al polvo (IP66).</w:t>
      </w:r>
    </w:p>
    <w:p w:rsidR="003A76EF" w:rsidRPr="00271449" w:rsidRDefault="00271449">
      <w:pPr>
        <w:pStyle w:val="Textoindependiente"/>
        <w:spacing w:line="360" w:lineRule="auto"/>
        <w:ind w:left="252" w:right="334"/>
        <w:jc w:val="both"/>
        <w:rPr>
          <w:lang w:val="es-ES"/>
        </w:rPr>
      </w:pPr>
      <w:r w:rsidRPr="00271449">
        <w:rPr>
          <w:lang w:val="es-ES"/>
        </w:rPr>
        <w:t>Cuenta también con una sección de bandejas con cierre para el almacenamiento seguro de sustancias controladas, un robusto porta</w:t>
      </w:r>
      <w:r>
        <w:rPr>
          <w:lang w:val="es-ES"/>
        </w:rPr>
        <w:t>-</w:t>
      </w:r>
      <w:r w:rsidRPr="00271449">
        <w:rPr>
          <w:lang w:val="es-ES"/>
        </w:rPr>
        <w:t>tarjetas de identificación extraíble, un contenedor externo de objetos afilados y una correa para el hombro.</w:t>
      </w:r>
    </w:p>
    <w:p w:rsidR="003A76EF" w:rsidRPr="00271449" w:rsidRDefault="003A76EF">
      <w:pPr>
        <w:pStyle w:val="Textoindependiente"/>
        <w:rPr>
          <w:sz w:val="24"/>
          <w:lang w:val="es-ES"/>
        </w:rPr>
      </w:pPr>
    </w:p>
    <w:p w:rsidR="003A76EF" w:rsidRPr="00271449" w:rsidRDefault="00271449">
      <w:pPr>
        <w:pStyle w:val="Textoindependiente"/>
        <w:spacing w:line="360" w:lineRule="auto"/>
        <w:ind w:left="252" w:right="116"/>
        <w:rPr>
          <w:lang w:val="es-ES"/>
        </w:rPr>
      </w:pPr>
      <w:r w:rsidRPr="00271449">
        <w:rPr>
          <w:lang w:val="es-ES"/>
        </w:rPr>
        <w:t>La tapa de la maleta se abre 180º para formar una base amplia que garantiza la estabilidad durante su uso. Para una mayor seguridad, la bandeja superior y la tapa de la maleta crean juntas un sello que evita que los contenidos del compartimento de la bandeja se esparzan por el interior de la maleta durante su transporte. La maleta Peli Air 1465EMS dispone de una válvula integrada con ecualización automática de presión que preserva el interior de la humedad y evita el bloqueo por vacío, lo que facilita su apertura en cualquier altitud. Además, incorpora de serie un asa sobremoldeada recubierta de goma y asas anchas a ambos lados.</w:t>
      </w:r>
    </w:p>
    <w:p w:rsidR="003A76EF" w:rsidRPr="00271449" w:rsidRDefault="003A76EF">
      <w:pPr>
        <w:spacing w:line="360" w:lineRule="auto"/>
        <w:rPr>
          <w:lang w:val="es-ES"/>
        </w:rPr>
        <w:sectPr w:rsidR="003A76EF" w:rsidRPr="00271449">
          <w:headerReference w:type="default" r:id="rId7"/>
          <w:footerReference w:type="default" r:id="rId8"/>
          <w:type w:val="continuous"/>
          <w:pgSz w:w="11910" w:h="16840"/>
          <w:pgMar w:top="1480" w:right="720" w:bottom="1580" w:left="600" w:header="0" w:footer="1398" w:gutter="0"/>
          <w:cols w:space="720"/>
        </w:sectPr>
      </w:pPr>
    </w:p>
    <w:p w:rsidR="003A76EF" w:rsidRPr="00271449" w:rsidRDefault="00271449">
      <w:pPr>
        <w:pStyle w:val="Textoindependiente"/>
        <w:spacing w:before="81" w:line="360" w:lineRule="auto"/>
        <w:ind w:left="252" w:right="333"/>
        <w:rPr>
          <w:lang w:val="es-ES"/>
        </w:rPr>
      </w:pPr>
      <w:r w:rsidRPr="00271449">
        <w:rPr>
          <w:lang w:val="es-ES"/>
        </w:rPr>
        <w:lastRenderedPageBreak/>
        <w:t>También está disponible en negro la maleta Peli Air 1465, con o sin espuma Pick N Pluck™ de serie, únicamente para las necesidades de protección general. Tanto la maleta Peli Air 1465EMS como la Peli Air 1465 están cubiertas por la garantía incondicional de excelencia de Peli Products.</w:t>
      </w:r>
    </w:p>
    <w:p w:rsidR="003A76EF" w:rsidRPr="00271449" w:rsidRDefault="003A76EF">
      <w:pPr>
        <w:pStyle w:val="Textoindependiente"/>
        <w:spacing w:before="11"/>
        <w:rPr>
          <w:sz w:val="23"/>
          <w:lang w:val="es-ES"/>
        </w:rPr>
      </w:pPr>
    </w:p>
    <w:p w:rsidR="003A76EF" w:rsidRPr="00271449" w:rsidRDefault="00271449">
      <w:pPr>
        <w:pStyle w:val="Textoindependiente"/>
        <w:ind w:left="252"/>
        <w:rPr>
          <w:lang w:val="es-ES"/>
        </w:rPr>
      </w:pPr>
      <w:r w:rsidRPr="00271449">
        <w:rPr>
          <w:lang w:val="es-ES"/>
        </w:rPr>
        <w:t xml:space="preserve">Para obtener más información, visita </w:t>
      </w:r>
      <w:hyperlink r:id="rId9">
        <w:r w:rsidRPr="00271449">
          <w:rPr>
            <w:color w:val="0462C1"/>
            <w:u w:val="single" w:color="0462C1"/>
            <w:lang w:val="es-ES"/>
          </w:rPr>
          <w:t>www.Peli.com</w:t>
        </w:r>
      </w:hyperlink>
    </w:p>
    <w:p w:rsidR="003A76EF" w:rsidRPr="00271449" w:rsidRDefault="003A76EF">
      <w:pPr>
        <w:pStyle w:val="Textoindependiente"/>
        <w:rPr>
          <w:sz w:val="20"/>
          <w:lang w:val="es-ES"/>
        </w:rPr>
      </w:pPr>
    </w:p>
    <w:p w:rsidR="003A76EF" w:rsidRPr="00271449" w:rsidRDefault="003A76EF">
      <w:pPr>
        <w:pStyle w:val="Textoindependiente"/>
        <w:rPr>
          <w:sz w:val="20"/>
          <w:lang w:val="es-ES"/>
        </w:rPr>
      </w:pPr>
    </w:p>
    <w:p w:rsidR="003A76EF" w:rsidRPr="00271449" w:rsidRDefault="003A76EF">
      <w:pPr>
        <w:pStyle w:val="Textoindependiente"/>
        <w:rPr>
          <w:sz w:val="20"/>
          <w:lang w:val="es-ES"/>
        </w:rPr>
      </w:pPr>
    </w:p>
    <w:p w:rsidR="003A76EF" w:rsidRPr="00271449" w:rsidRDefault="003A76EF">
      <w:pPr>
        <w:pStyle w:val="Textoindependiente"/>
        <w:rPr>
          <w:sz w:val="20"/>
          <w:lang w:val="es-ES"/>
        </w:rPr>
      </w:pPr>
    </w:p>
    <w:p w:rsidR="003A76EF" w:rsidRPr="00271449" w:rsidRDefault="003A76EF">
      <w:pPr>
        <w:pStyle w:val="Textoindependiente"/>
        <w:spacing w:before="9"/>
        <w:rPr>
          <w:sz w:val="26"/>
          <w:lang w:val="es-ES"/>
        </w:rPr>
      </w:pPr>
    </w:p>
    <w:p w:rsidR="003A76EF" w:rsidRPr="00271449" w:rsidRDefault="00271449">
      <w:pPr>
        <w:spacing w:before="91"/>
        <w:ind w:left="252"/>
        <w:rPr>
          <w:b/>
          <w:sz w:val="20"/>
          <w:lang w:val="es-ES"/>
        </w:rPr>
      </w:pPr>
      <w:r w:rsidRPr="00271449">
        <w:rPr>
          <w:b/>
          <w:sz w:val="20"/>
          <w:lang w:val="es-ES"/>
        </w:rPr>
        <w:t>Precio de venta recomendado:</w:t>
      </w:r>
    </w:p>
    <w:p w:rsidR="003A76EF" w:rsidRPr="00271449" w:rsidRDefault="003A76EF">
      <w:pPr>
        <w:pStyle w:val="Textoindependiente"/>
        <w:spacing w:before="5"/>
        <w:rPr>
          <w:b/>
          <w:sz w:val="15"/>
          <w:lang w:val="es-ES"/>
        </w:rPr>
      </w:pPr>
    </w:p>
    <w:tbl>
      <w:tblPr>
        <w:tblStyle w:val="TableNormal"/>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6"/>
        <w:gridCol w:w="1563"/>
      </w:tblGrid>
      <w:tr w:rsidR="0092367A" w:rsidRPr="00271449">
        <w:trPr>
          <w:trHeight w:val="539"/>
        </w:trPr>
        <w:tc>
          <w:tcPr>
            <w:tcW w:w="4626" w:type="dxa"/>
            <w:shd w:val="clear" w:color="auto" w:fill="D9D9D9"/>
          </w:tcPr>
          <w:p w:rsidR="0092367A" w:rsidRPr="00271449" w:rsidRDefault="0092367A">
            <w:pPr>
              <w:pStyle w:val="TableParagraph"/>
              <w:ind w:left="642" w:right="636"/>
              <w:rPr>
                <w:b/>
                <w:sz w:val="20"/>
                <w:lang w:val="es-ES"/>
              </w:rPr>
            </w:pPr>
            <w:r w:rsidRPr="00271449">
              <w:rPr>
                <w:b/>
                <w:sz w:val="20"/>
                <w:lang w:val="es-ES"/>
              </w:rPr>
              <w:t>Descripción</w:t>
            </w:r>
          </w:p>
        </w:tc>
        <w:tc>
          <w:tcPr>
            <w:tcW w:w="1563" w:type="dxa"/>
            <w:shd w:val="clear" w:color="auto" w:fill="D9D9D9"/>
          </w:tcPr>
          <w:p w:rsidR="0092367A" w:rsidRPr="00271449" w:rsidRDefault="0092367A">
            <w:pPr>
              <w:pStyle w:val="TableParagraph"/>
              <w:ind w:left="203" w:right="99" w:hanging="80"/>
              <w:jc w:val="left"/>
              <w:rPr>
                <w:b/>
                <w:sz w:val="20"/>
                <w:lang w:val="es-ES"/>
              </w:rPr>
            </w:pPr>
            <w:r w:rsidRPr="00271449">
              <w:rPr>
                <w:b/>
                <w:sz w:val="20"/>
                <w:lang w:val="es-ES"/>
              </w:rPr>
              <w:t>Precio de venta recomendado</w:t>
            </w:r>
          </w:p>
        </w:tc>
      </w:tr>
      <w:tr w:rsidR="0092367A" w:rsidRPr="00271449">
        <w:trPr>
          <w:trHeight w:val="537"/>
        </w:trPr>
        <w:tc>
          <w:tcPr>
            <w:tcW w:w="4626" w:type="dxa"/>
          </w:tcPr>
          <w:p w:rsidR="0092367A" w:rsidRPr="00271449" w:rsidRDefault="0092367A">
            <w:pPr>
              <w:pStyle w:val="TableParagraph"/>
              <w:spacing w:before="140"/>
              <w:ind w:left="645" w:right="636"/>
              <w:rPr>
                <w:lang w:val="es-ES"/>
              </w:rPr>
            </w:pPr>
            <w:r w:rsidRPr="00271449">
              <w:rPr>
                <w:lang w:val="es-ES"/>
              </w:rPr>
              <w:t>1465Air,WL/WF,BLACK,PELI</w:t>
            </w:r>
          </w:p>
        </w:tc>
        <w:tc>
          <w:tcPr>
            <w:tcW w:w="1563" w:type="dxa"/>
          </w:tcPr>
          <w:p w:rsidR="0092367A" w:rsidRPr="00271449" w:rsidRDefault="0092367A">
            <w:pPr>
              <w:pStyle w:val="TableParagraph"/>
              <w:spacing w:before="140"/>
              <w:ind w:left="376" w:right="366"/>
              <w:rPr>
                <w:lang w:val="es-ES"/>
              </w:rPr>
            </w:pPr>
            <w:r w:rsidRPr="00271449">
              <w:rPr>
                <w:lang w:val="es-ES"/>
              </w:rPr>
              <w:t>390,45 €</w:t>
            </w:r>
          </w:p>
        </w:tc>
      </w:tr>
      <w:tr w:rsidR="0092367A" w:rsidRPr="00271449">
        <w:trPr>
          <w:trHeight w:val="537"/>
        </w:trPr>
        <w:tc>
          <w:tcPr>
            <w:tcW w:w="4626" w:type="dxa"/>
          </w:tcPr>
          <w:p w:rsidR="0092367A" w:rsidRPr="00271449" w:rsidRDefault="0092367A">
            <w:pPr>
              <w:pStyle w:val="TableParagraph"/>
              <w:spacing w:before="140"/>
              <w:ind w:left="645" w:right="636"/>
              <w:rPr>
                <w:lang w:val="es-ES"/>
              </w:rPr>
            </w:pPr>
            <w:r w:rsidRPr="00271449">
              <w:rPr>
                <w:lang w:val="es-ES"/>
              </w:rPr>
              <w:t>1465AirNF,WL/NF,BLACK,PELI</w:t>
            </w:r>
          </w:p>
        </w:tc>
        <w:tc>
          <w:tcPr>
            <w:tcW w:w="1563" w:type="dxa"/>
          </w:tcPr>
          <w:p w:rsidR="0092367A" w:rsidRPr="00271449" w:rsidRDefault="0092367A">
            <w:pPr>
              <w:pStyle w:val="TableParagraph"/>
              <w:spacing w:before="140"/>
              <w:ind w:left="376" w:right="366"/>
              <w:rPr>
                <w:lang w:val="es-ES"/>
              </w:rPr>
            </w:pPr>
            <w:r w:rsidRPr="00271449">
              <w:rPr>
                <w:lang w:val="es-ES"/>
              </w:rPr>
              <w:t>321,45 €</w:t>
            </w:r>
          </w:p>
        </w:tc>
      </w:tr>
      <w:tr w:rsidR="0092367A" w:rsidRPr="00271449">
        <w:trPr>
          <w:trHeight w:val="539"/>
        </w:trPr>
        <w:tc>
          <w:tcPr>
            <w:tcW w:w="4626" w:type="dxa"/>
          </w:tcPr>
          <w:p w:rsidR="0092367A" w:rsidRPr="00271449" w:rsidRDefault="0092367A">
            <w:pPr>
              <w:pStyle w:val="TableParagraph"/>
              <w:spacing w:before="142"/>
              <w:ind w:left="645" w:right="636"/>
              <w:rPr>
                <w:lang w:val="es-ES"/>
              </w:rPr>
            </w:pPr>
            <w:r w:rsidRPr="00271449">
              <w:rPr>
                <w:lang w:val="es-ES"/>
              </w:rPr>
              <w:t>1465EMS,WL/EMS,ORANGE,PELI</w:t>
            </w:r>
          </w:p>
        </w:tc>
        <w:tc>
          <w:tcPr>
            <w:tcW w:w="1563" w:type="dxa"/>
          </w:tcPr>
          <w:p w:rsidR="0092367A" w:rsidRPr="00271449" w:rsidRDefault="0092367A">
            <w:pPr>
              <w:pStyle w:val="TableParagraph"/>
              <w:spacing w:before="142"/>
              <w:ind w:left="376" w:right="366"/>
              <w:rPr>
                <w:lang w:val="es-ES"/>
              </w:rPr>
            </w:pPr>
            <w:r w:rsidRPr="00271449">
              <w:rPr>
                <w:lang w:val="es-ES"/>
              </w:rPr>
              <w:t>529,45 €</w:t>
            </w:r>
          </w:p>
        </w:tc>
      </w:tr>
    </w:tbl>
    <w:p w:rsidR="003A76EF" w:rsidRPr="00271449" w:rsidRDefault="003A76EF">
      <w:pPr>
        <w:pStyle w:val="Textoindependiente"/>
        <w:spacing w:before="10"/>
        <w:rPr>
          <w:b/>
          <w:sz w:val="29"/>
          <w:lang w:val="es-ES"/>
        </w:rPr>
      </w:pPr>
    </w:p>
    <w:p w:rsidR="003A76EF" w:rsidRPr="00271449" w:rsidRDefault="00271449">
      <w:pPr>
        <w:ind w:left="252"/>
        <w:rPr>
          <w:b/>
          <w:sz w:val="20"/>
          <w:lang w:val="es-ES"/>
        </w:rPr>
      </w:pPr>
      <w:r w:rsidRPr="00271449">
        <w:rPr>
          <w:b/>
          <w:sz w:val="20"/>
          <w:lang w:val="es-ES"/>
        </w:rPr>
        <w:t>Información logística:</w:t>
      </w:r>
    </w:p>
    <w:p w:rsidR="003A76EF" w:rsidRPr="00271449" w:rsidRDefault="003A76EF">
      <w:pPr>
        <w:pStyle w:val="Textoindependiente"/>
        <w:rPr>
          <w:b/>
          <w:sz w:val="10"/>
          <w:lang w:val="es-ES"/>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6"/>
        <w:gridCol w:w="2126"/>
        <w:gridCol w:w="2132"/>
      </w:tblGrid>
      <w:tr w:rsidR="0092367A" w:rsidRPr="00271449" w:rsidTr="0092367A">
        <w:trPr>
          <w:trHeight w:val="958"/>
        </w:trPr>
        <w:tc>
          <w:tcPr>
            <w:tcW w:w="2126" w:type="dxa"/>
            <w:shd w:val="clear" w:color="auto" w:fill="D9D9D9"/>
          </w:tcPr>
          <w:p w:rsidR="0092367A" w:rsidRPr="00271449" w:rsidRDefault="0092367A">
            <w:pPr>
              <w:pStyle w:val="TableParagraph"/>
              <w:spacing w:line="230" w:lineRule="atLeast"/>
              <w:rPr>
                <w:b/>
                <w:sz w:val="20"/>
                <w:lang w:val="es-ES"/>
              </w:rPr>
            </w:pPr>
            <w:r w:rsidRPr="00271449">
              <w:rPr>
                <w:b/>
                <w:w w:val="95"/>
                <w:sz w:val="20"/>
                <w:lang w:val="es-ES"/>
              </w:rPr>
              <w:t>Longitu</w:t>
            </w:r>
            <w:r w:rsidRPr="00271449">
              <w:rPr>
                <w:b/>
                <w:sz w:val="20"/>
                <w:lang w:val="es-ES"/>
              </w:rPr>
              <w:t>d (cm) Master Pack</w:t>
            </w:r>
          </w:p>
        </w:tc>
        <w:tc>
          <w:tcPr>
            <w:tcW w:w="2126" w:type="dxa"/>
            <w:shd w:val="clear" w:color="auto" w:fill="D9D9D9"/>
          </w:tcPr>
          <w:p w:rsidR="0092367A" w:rsidRPr="00271449" w:rsidRDefault="0092367A">
            <w:pPr>
              <w:pStyle w:val="TableParagraph"/>
              <w:spacing w:line="230" w:lineRule="atLeast"/>
              <w:ind w:left="119" w:right="107"/>
              <w:rPr>
                <w:b/>
                <w:sz w:val="20"/>
                <w:lang w:val="es-ES"/>
              </w:rPr>
            </w:pPr>
            <w:r w:rsidRPr="00271449">
              <w:rPr>
                <w:b/>
                <w:w w:val="95"/>
                <w:sz w:val="20"/>
                <w:lang w:val="es-ES"/>
              </w:rPr>
              <w:t xml:space="preserve">Anchura </w:t>
            </w:r>
            <w:r w:rsidRPr="00271449">
              <w:rPr>
                <w:b/>
                <w:sz w:val="20"/>
                <w:lang w:val="es-ES"/>
              </w:rPr>
              <w:t>(cm) Master Pack</w:t>
            </w:r>
          </w:p>
        </w:tc>
        <w:tc>
          <w:tcPr>
            <w:tcW w:w="2132" w:type="dxa"/>
            <w:shd w:val="clear" w:color="auto" w:fill="D9D9D9"/>
          </w:tcPr>
          <w:p w:rsidR="0092367A" w:rsidRPr="00271449" w:rsidRDefault="0092367A">
            <w:pPr>
              <w:pStyle w:val="TableParagraph"/>
              <w:spacing w:line="230" w:lineRule="atLeast"/>
              <w:ind w:left="191" w:right="179" w:hanging="3"/>
              <w:rPr>
                <w:b/>
                <w:sz w:val="20"/>
                <w:lang w:val="es-ES"/>
              </w:rPr>
            </w:pPr>
            <w:r w:rsidRPr="00271449">
              <w:rPr>
                <w:b/>
                <w:sz w:val="20"/>
                <w:lang w:val="es-ES"/>
              </w:rPr>
              <w:t>Altura (cm) Master</w:t>
            </w:r>
            <w:r w:rsidRPr="00271449">
              <w:rPr>
                <w:b/>
                <w:w w:val="99"/>
                <w:sz w:val="20"/>
                <w:lang w:val="es-ES"/>
              </w:rPr>
              <w:t xml:space="preserve"> </w:t>
            </w:r>
            <w:r w:rsidRPr="00271449">
              <w:rPr>
                <w:b/>
                <w:sz w:val="20"/>
                <w:lang w:val="es-ES"/>
              </w:rPr>
              <w:t>Pack</w:t>
            </w:r>
          </w:p>
        </w:tc>
      </w:tr>
      <w:tr w:rsidR="0092367A" w:rsidRPr="00271449" w:rsidTr="0092367A">
        <w:trPr>
          <w:trHeight w:val="596"/>
        </w:trPr>
        <w:tc>
          <w:tcPr>
            <w:tcW w:w="2126" w:type="dxa"/>
          </w:tcPr>
          <w:p w:rsidR="0092367A" w:rsidRPr="00271449" w:rsidRDefault="0092367A">
            <w:pPr>
              <w:pStyle w:val="TableParagraph"/>
              <w:spacing w:before="159"/>
              <w:rPr>
                <w:lang w:val="es-ES"/>
              </w:rPr>
            </w:pPr>
            <w:r w:rsidRPr="00271449">
              <w:rPr>
                <w:lang w:val="es-ES"/>
              </w:rPr>
              <w:t>66,040</w:t>
            </w:r>
          </w:p>
        </w:tc>
        <w:tc>
          <w:tcPr>
            <w:tcW w:w="2126" w:type="dxa"/>
          </w:tcPr>
          <w:p w:rsidR="0092367A" w:rsidRPr="00271449" w:rsidRDefault="0092367A">
            <w:pPr>
              <w:pStyle w:val="TableParagraph"/>
              <w:spacing w:before="159"/>
              <w:ind w:right="141"/>
              <w:rPr>
                <w:lang w:val="es-ES"/>
              </w:rPr>
            </w:pPr>
            <w:r w:rsidRPr="00271449">
              <w:rPr>
                <w:lang w:val="es-ES"/>
              </w:rPr>
              <w:t>53,975</w:t>
            </w:r>
          </w:p>
        </w:tc>
        <w:tc>
          <w:tcPr>
            <w:tcW w:w="2132" w:type="dxa"/>
          </w:tcPr>
          <w:p w:rsidR="0092367A" w:rsidRPr="00271449" w:rsidRDefault="0092367A">
            <w:pPr>
              <w:pStyle w:val="TableParagraph"/>
              <w:spacing w:before="159"/>
              <w:ind w:left="174" w:right="164"/>
              <w:rPr>
                <w:lang w:val="es-ES"/>
              </w:rPr>
            </w:pPr>
            <w:r w:rsidRPr="00271449">
              <w:rPr>
                <w:lang w:val="es-ES"/>
              </w:rPr>
              <w:t>33,338</w:t>
            </w:r>
          </w:p>
        </w:tc>
      </w:tr>
      <w:tr w:rsidR="0092367A" w:rsidRPr="00271449" w:rsidTr="0092367A">
        <w:trPr>
          <w:trHeight w:val="551"/>
        </w:trPr>
        <w:tc>
          <w:tcPr>
            <w:tcW w:w="2126" w:type="dxa"/>
          </w:tcPr>
          <w:p w:rsidR="0092367A" w:rsidRPr="00271449" w:rsidRDefault="0092367A">
            <w:pPr>
              <w:pStyle w:val="TableParagraph"/>
              <w:spacing w:before="138"/>
              <w:rPr>
                <w:lang w:val="es-ES"/>
              </w:rPr>
            </w:pPr>
            <w:r w:rsidRPr="00271449">
              <w:rPr>
                <w:lang w:val="es-ES"/>
              </w:rPr>
              <w:t>66,040</w:t>
            </w:r>
          </w:p>
        </w:tc>
        <w:tc>
          <w:tcPr>
            <w:tcW w:w="2126" w:type="dxa"/>
          </w:tcPr>
          <w:p w:rsidR="0092367A" w:rsidRPr="00271449" w:rsidRDefault="0092367A">
            <w:pPr>
              <w:pStyle w:val="TableParagraph"/>
              <w:spacing w:before="138"/>
              <w:ind w:right="141"/>
              <w:rPr>
                <w:lang w:val="es-ES"/>
              </w:rPr>
            </w:pPr>
            <w:r w:rsidRPr="00271449">
              <w:rPr>
                <w:lang w:val="es-ES"/>
              </w:rPr>
              <w:t>53,975</w:t>
            </w:r>
          </w:p>
        </w:tc>
        <w:tc>
          <w:tcPr>
            <w:tcW w:w="2132" w:type="dxa"/>
          </w:tcPr>
          <w:p w:rsidR="0092367A" w:rsidRPr="00271449" w:rsidRDefault="0092367A">
            <w:pPr>
              <w:pStyle w:val="TableParagraph"/>
              <w:spacing w:before="138"/>
              <w:ind w:left="174" w:right="164"/>
              <w:rPr>
                <w:lang w:val="es-ES"/>
              </w:rPr>
            </w:pPr>
            <w:r w:rsidRPr="00271449">
              <w:rPr>
                <w:lang w:val="es-ES"/>
              </w:rPr>
              <w:t>33,338</w:t>
            </w:r>
          </w:p>
        </w:tc>
      </w:tr>
      <w:tr w:rsidR="0092367A" w:rsidRPr="00271449" w:rsidTr="0092367A">
        <w:trPr>
          <w:trHeight w:val="553"/>
        </w:trPr>
        <w:tc>
          <w:tcPr>
            <w:tcW w:w="2126" w:type="dxa"/>
          </w:tcPr>
          <w:p w:rsidR="0092367A" w:rsidRPr="00271449" w:rsidRDefault="0092367A">
            <w:pPr>
              <w:pStyle w:val="TableParagraph"/>
              <w:spacing w:before="137"/>
              <w:rPr>
                <w:lang w:val="es-ES"/>
              </w:rPr>
            </w:pPr>
            <w:r w:rsidRPr="00271449">
              <w:rPr>
                <w:lang w:val="es-ES"/>
              </w:rPr>
              <w:t>66,040</w:t>
            </w:r>
          </w:p>
        </w:tc>
        <w:tc>
          <w:tcPr>
            <w:tcW w:w="2126" w:type="dxa"/>
          </w:tcPr>
          <w:p w:rsidR="0092367A" w:rsidRPr="00271449" w:rsidRDefault="0092367A">
            <w:pPr>
              <w:pStyle w:val="TableParagraph"/>
              <w:spacing w:before="137"/>
              <w:ind w:right="141"/>
              <w:rPr>
                <w:lang w:val="es-ES"/>
              </w:rPr>
            </w:pPr>
            <w:r w:rsidRPr="00271449">
              <w:rPr>
                <w:lang w:val="es-ES"/>
              </w:rPr>
              <w:t>53,975</w:t>
            </w:r>
          </w:p>
        </w:tc>
        <w:tc>
          <w:tcPr>
            <w:tcW w:w="2132" w:type="dxa"/>
          </w:tcPr>
          <w:p w:rsidR="0092367A" w:rsidRPr="00271449" w:rsidRDefault="0092367A">
            <w:pPr>
              <w:pStyle w:val="TableParagraph"/>
              <w:spacing w:before="137"/>
              <w:ind w:left="174" w:right="164"/>
              <w:rPr>
                <w:lang w:val="es-ES"/>
              </w:rPr>
            </w:pPr>
            <w:r w:rsidRPr="00271449">
              <w:rPr>
                <w:lang w:val="es-ES"/>
              </w:rPr>
              <w:t>33,338</w:t>
            </w:r>
          </w:p>
        </w:tc>
      </w:tr>
    </w:tbl>
    <w:p w:rsidR="009F2508" w:rsidRPr="00271449" w:rsidRDefault="009F2508">
      <w:pPr>
        <w:rPr>
          <w:lang w:val="es-ES"/>
        </w:rPr>
      </w:pPr>
    </w:p>
    <w:sectPr w:rsidR="009F2508" w:rsidRPr="00271449">
      <w:pgSz w:w="11910" w:h="16840"/>
      <w:pgMar w:top="1480" w:right="720" w:bottom="1580" w:left="600" w:header="0" w:footer="13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EC2" w:rsidRDefault="009B7EC2">
      <w:r>
        <w:separator/>
      </w:r>
    </w:p>
  </w:endnote>
  <w:endnote w:type="continuationSeparator" w:id="0">
    <w:p w:rsidR="009B7EC2" w:rsidRDefault="009B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6EF" w:rsidRDefault="009B7EC2">
    <w:pPr>
      <w:pStyle w:val="Textoindependien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1.6pt;margin-top:780.15pt;width:512.25pt;height:29.25pt;z-index:-6544;mso-position-horizontal-relative:page;mso-position-vertical-relative:page" filled="f" stroked="f">
          <v:textbox inset="0,0,0,0">
            <w:txbxContent>
              <w:p w:rsidR="008829D8" w:rsidRPr="008829D8" w:rsidRDefault="008829D8" w:rsidP="008829D8">
                <w:pPr>
                  <w:spacing w:before="13"/>
                  <w:ind w:left="20" w:right="18"/>
                  <w:jc w:val="center"/>
                  <w:rPr>
                    <w:b/>
                    <w:i/>
                    <w:color w:val="FFFFFF"/>
                    <w:sz w:val="16"/>
                    <w:szCs w:val="24"/>
                    <w:lang w:val="pt-PT"/>
                  </w:rPr>
                </w:pPr>
                <w:r w:rsidRPr="008829D8">
                  <w:rPr>
                    <w:b/>
                    <w:i/>
                    <w:color w:val="FFFFFF"/>
                    <w:sz w:val="16"/>
                    <w:szCs w:val="24"/>
                    <w:lang w:val="pt-PT"/>
                  </w:rPr>
                  <w:t xml:space="preserve">Distribuidor oficial: </w:t>
                </w:r>
              </w:p>
              <w:p w:rsidR="008829D8" w:rsidRPr="008829D8" w:rsidRDefault="008829D8" w:rsidP="008829D8">
                <w:pPr>
                  <w:spacing w:before="13"/>
                  <w:ind w:left="20" w:right="18"/>
                  <w:jc w:val="center"/>
                  <w:rPr>
                    <w:b/>
                    <w:i/>
                    <w:color w:val="FFFFFF"/>
                    <w:sz w:val="16"/>
                    <w:szCs w:val="24"/>
                    <w:lang w:val="pt-PT"/>
                  </w:rPr>
                </w:pPr>
                <w:r w:rsidRPr="008829D8">
                  <w:rPr>
                    <w:b/>
                    <w:i/>
                    <w:color w:val="FFFFFF"/>
                    <w:sz w:val="16"/>
                    <w:szCs w:val="24"/>
                    <w:lang w:val="pt-PT"/>
                  </w:rPr>
                  <w:t>Rodolfo Biber, S.A. (</w:t>
                </w:r>
                <w:hyperlink r:id="rId1" w:history="1">
                  <w:r w:rsidRPr="008829D8">
                    <w:rPr>
                      <w:rStyle w:val="Hipervnculo"/>
                      <w:b/>
                      <w:i/>
                      <w:sz w:val="16"/>
                      <w:szCs w:val="24"/>
                      <w:lang w:val="pt-PT"/>
                    </w:rPr>
                    <w:t>www.robisa.es</w:t>
                  </w:r>
                </w:hyperlink>
                <w:r w:rsidRPr="008829D8">
                  <w:rPr>
                    <w:b/>
                    <w:i/>
                    <w:color w:val="FFFFFF"/>
                    <w:sz w:val="16"/>
                    <w:szCs w:val="24"/>
                    <w:lang w:val="pt-PT"/>
                  </w:rPr>
                  <w:t>)</w:t>
                </w:r>
              </w:p>
              <w:p w:rsidR="008829D8" w:rsidRPr="008829D8" w:rsidRDefault="008829D8" w:rsidP="008829D8">
                <w:pPr>
                  <w:spacing w:before="13"/>
                  <w:ind w:left="20" w:right="18"/>
                  <w:jc w:val="center"/>
                  <w:rPr>
                    <w:b/>
                    <w:i/>
                    <w:color w:val="FFFFFF"/>
                    <w:sz w:val="16"/>
                    <w:szCs w:val="24"/>
                    <w:lang w:val="pt-PT"/>
                  </w:rPr>
                </w:pPr>
                <w:r w:rsidRPr="008829D8">
                  <w:rPr>
                    <w:b/>
                    <w:i/>
                    <w:color w:val="FFFFFF"/>
                    <w:sz w:val="16"/>
                    <w:szCs w:val="24"/>
                    <w:lang w:val="pt-PT"/>
                  </w:rPr>
                  <w:t>info@robisa.es</w:t>
                </w:r>
              </w:p>
            </w:txbxContent>
          </v:textbox>
          <w10:wrap anchorx="page" anchory="page"/>
        </v:shape>
      </w:pict>
    </w:r>
    <w:r>
      <w:pict>
        <v:group id="_x0000_s2050" style="position:absolute;margin-left:0;margin-top:758.05pt;width:595.35pt;height:83.9pt;z-index:-6568;mso-position-horizontal-relative:page;mso-position-vertical-relative:page" coordorigin=",15161" coordsize="11907,1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top:15160;width:11907;height:1678">
            <v:imagedata r:id="rId2" o:title=""/>
          </v:shape>
          <v:rect id="_x0000_s2051" style="position:absolute;left:20;top:15191;width:11887;height:1648" fillcolor="#171717" stroked="f"/>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EC2" w:rsidRDefault="009B7EC2">
      <w:r>
        <w:separator/>
      </w:r>
    </w:p>
  </w:footnote>
  <w:footnote w:type="continuationSeparator" w:id="0">
    <w:p w:rsidR="009B7EC2" w:rsidRDefault="009B7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6EF" w:rsidRDefault="009B7EC2">
    <w:pPr>
      <w:pStyle w:val="Textoindependiente"/>
      <w:spacing w:line="14" w:lineRule="auto"/>
      <w:rPr>
        <w:sz w:val="20"/>
      </w:rPr>
    </w:pPr>
    <w:r>
      <w:pict>
        <v:group id="_x0000_s2054" style="position:absolute;margin-left:0;margin-top:0;width:595.35pt;height:69.4pt;z-index:-6616;mso-position-horizontal-relative:page;mso-position-vertical-relative:page" coordsize="11907,1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width:11907;height:1388">
            <v:imagedata r:id="rId1" o:title=""/>
          </v:shape>
          <v:rect id="_x0000_s2056" style="position:absolute;width:11900;height:1290" fillcolor="#171717" stroked="f"/>
          <v:shape id="_x0000_s2055" type="#_x0000_t75" style="position:absolute;left:9339;top:260;width:2027;height:850">
            <v:imagedata r:id="rId2" o:title=""/>
          </v:shape>
          <w10:wrap anchorx="page" anchory="pag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A76EF"/>
    <w:rsid w:val="00271449"/>
    <w:rsid w:val="003A76EF"/>
    <w:rsid w:val="008829D8"/>
    <w:rsid w:val="0092367A"/>
    <w:rsid w:val="009B7EC2"/>
    <w:rsid w:val="009F2508"/>
    <w:rsid w:val="00C22E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0ABB619E"/>
  <w15:docId w15:val="{3BAEAC12-673D-47DA-9D92-085BA47C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pPr>
      <w:ind w:left="154" w:right="147"/>
      <w:jc w:val="center"/>
    </w:pPr>
  </w:style>
  <w:style w:type="paragraph" w:styleId="Encabezado">
    <w:name w:val="header"/>
    <w:basedOn w:val="Normal"/>
    <w:link w:val="EncabezadoCar"/>
    <w:uiPriority w:val="99"/>
    <w:unhideWhenUsed/>
    <w:rsid w:val="008829D8"/>
    <w:pPr>
      <w:tabs>
        <w:tab w:val="center" w:pos="4252"/>
        <w:tab w:val="right" w:pos="8504"/>
      </w:tabs>
    </w:pPr>
  </w:style>
  <w:style w:type="character" w:customStyle="1" w:styleId="EncabezadoCar">
    <w:name w:val="Encabezado Car"/>
    <w:basedOn w:val="Fuentedeprrafopredeter"/>
    <w:link w:val="Encabezado"/>
    <w:uiPriority w:val="99"/>
    <w:rsid w:val="008829D8"/>
    <w:rPr>
      <w:rFonts w:ascii="Times New Roman" w:eastAsia="Times New Roman" w:hAnsi="Times New Roman" w:cs="Times New Roman"/>
      <w:lang w:bidi="en-US"/>
    </w:rPr>
  </w:style>
  <w:style w:type="paragraph" w:styleId="Piedepgina">
    <w:name w:val="footer"/>
    <w:basedOn w:val="Normal"/>
    <w:link w:val="PiedepginaCar"/>
    <w:uiPriority w:val="99"/>
    <w:unhideWhenUsed/>
    <w:rsid w:val="008829D8"/>
    <w:pPr>
      <w:tabs>
        <w:tab w:val="center" w:pos="4252"/>
        <w:tab w:val="right" w:pos="8504"/>
      </w:tabs>
    </w:pPr>
  </w:style>
  <w:style w:type="character" w:customStyle="1" w:styleId="PiedepginaCar">
    <w:name w:val="Pie de página Car"/>
    <w:basedOn w:val="Fuentedeprrafopredeter"/>
    <w:link w:val="Piedepgina"/>
    <w:uiPriority w:val="99"/>
    <w:rsid w:val="008829D8"/>
    <w:rPr>
      <w:rFonts w:ascii="Times New Roman" w:eastAsia="Times New Roman" w:hAnsi="Times New Roman" w:cs="Times New Roman"/>
      <w:lang w:bidi="en-US"/>
    </w:rPr>
  </w:style>
  <w:style w:type="character" w:styleId="Hipervnculo">
    <w:name w:val="Hyperlink"/>
    <w:basedOn w:val="Fuentedeprrafopredeter"/>
    <w:uiPriority w:val="99"/>
    <w:unhideWhenUsed/>
    <w:rsid w:val="008829D8"/>
    <w:rPr>
      <w:color w:val="0000FF" w:themeColor="hyperlink"/>
      <w:u w:val="single"/>
    </w:rPr>
  </w:style>
  <w:style w:type="character" w:styleId="Mencinsinresolver">
    <w:name w:val="Unresolved Mention"/>
    <w:basedOn w:val="Fuentedeprrafopredeter"/>
    <w:uiPriority w:val="99"/>
    <w:semiHidden/>
    <w:unhideWhenUsed/>
    <w:rsid w:val="008829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peli.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491</Words>
  <Characters>2704</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Sistachs, Maria</dc:creator>
  <cp:lastModifiedBy>Julio</cp:lastModifiedBy>
  <cp:revision>5</cp:revision>
  <dcterms:created xsi:type="dcterms:W3CDTF">2019-06-10T11:20:00Z</dcterms:created>
  <dcterms:modified xsi:type="dcterms:W3CDTF">2019-07-09T08:22:00Z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2019-06-03T00:00:00Z</vt:filetime>
  </property>
  <property fmtid="{D5CDD505-2E9C-101B-9397-08002B2CF9AE}" pid="3" name="Creator">
    <vt:lpwstr>Microsoft® Word for Office 365</vt:lpwstr>
  </property>
  <property fmtid="{D5CDD505-2E9C-101B-9397-08002B2CF9AE}" pid="4" name="LastSaved">
    <vt:filetime>2019-06-10T00:00:00Z</vt:filetime>
  </property>
</Properties>
</file>