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A07F4" w14:textId="63705759" w:rsidR="008E4EB5" w:rsidRDefault="00A9533D" w:rsidP="00906FE4">
      <w:pPr>
        <w:spacing w:after="0" w:line="360" w:lineRule="auto"/>
        <w:jc w:val="center"/>
        <w:outlineLvl w:val="0"/>
        <w:rPr>
          <w:rFonts w:eastAsia="Times New Roman" w:cstheme="minorHAnsi"/>
          <w:b/>
          <w:bCs/>
          <w:kern w:val="36"/>
          <w:sz w:val="44"/>
          <w:szCs w:val="44"/>
          <w:lang w:eastAsia="es-ES"/>
        </w:rPr>
      </w:pPr>
      <w:proofErr w:type="spellStart"/>
      <w:r>
        <w:rPr>
          <w:rFonts w:eastAsia="Times New Roman" w:cstheme="minorHAnsi"/>
          <w:b/>
          <w:bCs/>
          <w:kern w:val="36"/>
          <w:sz w:val="44"/>
          <w:szCs w:val="44"/>
          <w:lang w:eastAsia="es-ES"/>
        </w:rPr>
        <w:t>Desig</w:t>
      </w:r>
      <w:r w:rsidR="002E5766">
        <w:rPr>
          <w:rFonts w:eastAsia="Times New Roman" w:cstheme="minorHAnsi"/>
          <w:b/>
          <w:bCs/>
          <w:kern w:val="36"/>
          <w:sz w:val="44"/>
          <w:szCs w:val="44"/>
          <w:lang w:eastAsia="es-ES"/>
        </w:rPr>
        <w:t>n</w:t>
      </w:r>
      <w:r>
        <w:rPr>
          <w:rFonts w:eastAsia="Times New Roman" w:cstheme="minorHAnsi"/>
          <w:b/>
          <w:bCs/>
          <w:kern w:val="36"/>
          <w:sz w:val="44"/>
          <w:szCs w:val="44"/>
          <w:lang w:eastAsia="es-ES"/>
        </w:rPr>
        <w:t>Vue</w:t>
      </w:r>
      <w:proofErr w:type="spellEnd"/>
      <w:r>
        <w:rPr>
          <w:rFonts w:eastAsia="Times New Roman" w:cstheme="minorHAnsi"/>
          <w:b/>
          <w:bCs/>
          <w:kern w:val="36"/>
          <w:sz w:val="44"/>
          <w:szCs w:val="44"/>
          <w:lang w:eastAsia="es-ES"/>
        </w:rPr>
        <w:t xml:space="preserve"> PD</w:t>
      </w:r>
      <w:r w:rsidR="008C2750">
        <w:rPr>
          <w:rFonts w:eastAsia="Times New Roman" w:cstheme="minorHAnsi"/>
          <w:b/>
          <w:bCs/>
          <w:kern w:val="36"/>
          <w:sz w:val="44"/>
          <w:szCs w:val="44"/>
          <w:lang w:eastAsia="es-ES"/>
        </w:rPr>
        <w:t xml:space="preserve">2725U </w:t>
      </w:r>
      <w:r w:rsidR="00FB4611" w:rsidRPr="00FB4611">
        <w:rPr>
          <w:rFonts w:eastAsia="Times New Roman" w:cstheme="minorHAnsi"/>
          <w:b/>
          <w:bCs/>
          <w:kern w:val="36"/>
          <w:sz w:val="44"/>
          <w:szCs w:val="44"/>
          <w:lang w:eastAsia="es-ES"/>
        </w:rPr>
        <w:t>de BenQ</w:t>
      </w:r>
    </w:p>
    <w:p w14:paraId="3AD7F064" w14:textId="77777777" w:rsidR="00906FE4" w:rsidRPr="008E4EB5" w:rsidRDefault="00906FE4" w:rsidP="00906FE4">
      <w:pPr>
        <w:spacing w:after="0" w:line="360" w:lineRule="auto"/>
        <w:jc w:val="center"/>
        <w:outlineLvl w:val="0"/>
        <w:rPr>
          <w:rFonts w:eastAsia="Times New Roman" w:cstheme="minorHAnsi"/>
          <w:b/>
          <w:bCs/>
          <w:kern w:val="36"/>
          <w:sz w:val="44"/>
          <w:szCs w:val="44"/>
          <w:lang w:eastAsia="es-ES"/>
        </w:rPr>
      </w:pPr>
    </w:p>
    <w:p w14:paraId="67E6FEF0" w14:textId="44B5B6AE" w:rsidR="002465E1" w:rsidRDefault="008402AE" w:rsidP="000C6BF1">
      <w:pPr>
        <w:spacing w:after="0" w:line="360" w:lineRule="auto"/>
        <w:jc w:val="center"/>
        <w:outlineLvl w:val="0"/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</w:pPr>
      <w:r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>El monitor</w:t>
      </w:r>
      <w:r w:rsidR="00B024C9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 </w:t>
      </w:r>
      <w:r w:rsidR="00AA3B07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>profesional</w:t>
      </w:r>
      <w:r w:rsidR="0088643C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 </w:t>
      </w:r>
      <w:proofErr w:type="spellStart"/>
      <w:r w:rsidR="0088643C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>Desig</w:t>
      </w:r>
      <w:r w:rsidR="002E5766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>n</w:t>
      </w:r>
      <w:r w:rsidR="0088643C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>Vue</w:t>
      </w:r>
      <w:proofErr w:type="spellEnd"/>
      <w:r w:rsidR="006E698C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 PD2725U</w:t>
      </w:r>
      <w:r w:rsidR="00A613E4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 </w:t>
      </w:r>
      <w:r w:rsidR="009072F5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>proporcion</w:t>
      </w:r>
      <w:r w:rsidR="008359E6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>a un</w:t>
      </w:r>
      <w:r w:rsidR="00A613E4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 alto</w:t>
      </w:r>
      <w:r w:rsidR="00946C45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 nivel de </w:t>
      </w:r>
      <w:r w:rsidR="008359E6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>eficiencia</w:t>
      </w:r>
      <w:r w:rsidR="002E607A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>,</w:t>
      </w:r>
      <w:r w:rsidR="008359E6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 productividad</w:t>
      </w:r>
      <w:r w:rsidR="00095665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 y</w:t>
      </w:r>
      <w:r w:rsidR="004A0323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 </w:t>
      </w:r>
      <w:r w:rsidR="00873708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>sofisticación</w:t>
      </w:r>
      <w:r w:rsidR="00651361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 </w:t>
      </w:r>
      <w:r w:rsidR="0061500C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>para profesionales creativos demandantes de excelencia</w:t>
      </w:r>
      <w:r w:rsidR="00266B59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>.</w:t>
      </w:r>
    </w:p>
    <w:p w14:paraId="21CC8AE0" w14:textId="77777777" w:rsidR="00906FE4" w:rsidRDefault="00906FE4" w:rsidP="00964788">
      <w:pPr>
        <w:spacing w:after="0" w:line="360" w:lineRule="auto"/>
        <w:rPr>
          <w:rFonts w:eastAsia="Times New Roman" w:cstheme="minorHAnsi"/>
          <w:color w:val="FF0000"/>
          <w:lang w:eastAsia="es-ES"/>
        </w:rPr>
      </w:pPr>
    </w:p>
    <w:p w14:paraId="6EECB043" w14:textId="23BE1FA5" w:rsidR="00CC0ADF" w:rsidRDefault="00CC0ADF" w:rsidP="00CC0ADF">
      <w:pPr>
        <w:spacing w:after="0" w:line="360" w:lineRule="auto"/>
        <w:rPr>
          <w:rFonts w:eastAsia="Times New Roman" w:cstheme="minorHAnsi"/>
          <w:lang w:eastAsia="es-ES"/>
        </w:rPr>
      </w:pPr>
      <w:r w:rsidRPr="00937EA6">
        <w:rPr>
          <w:rFonts w:eastAsia="Times New Roman" w:cstheme="minorHAnsi"/>
          <w:b/>
          <w:bCs/>
          <w:lang w:eastAsia="es-ES"/>
        </w:rPr>
        <w:t xml:space="preserve">Eindhoven (Países Bajos), </w:t>
      </w:r>
      <w:r w:rsidR="00E40446">
        <w:rPr>
          <w:rFonts w:eastAsia="Times New Roman" w:cstheme="minorHAnsi"/>
          <w:b/>
          <w:bCs/>
          <w:lang w:eastAsia="es-ES"/>
        </w:rPr>
        <w:t>abril</w:t>
      </w:r>
      <w:r w:rsidRPr="00937EA6">
        <w:rPr>
          <w:rFonts w:eastAsia="Times New Roman" w:cstheme="minorHAnsi"/>
          <w:b/>
          <w:bCs/>
          <w:lang w:eastAsia="es-ES"/>
        </w:rPr>
        <w:t xml:space="preserve"> 2021 – </w:t>
      </w:r>
      <w:r w:rsidRPr="00937EA6">
        <w:rPr>
          <w:rFonts w:eastAsia="Times New Roman" w:cstheme="minorHAnsi"/>
          <w:lang w:eastAsia="es-ES"/>
        </w:rPr>
        <w:t xml:space="preserve">BenQ, proveedor de dispositivos para la vida digital de renombre internacional, presenta el monitor </w:t>
      </w:r>
      <w:r w:rsidR="00F533B5" w:rsidRPr="00937EA6">
        <w:rPr>
          <w:rFonts w:eastAsia="Times New Roman" w:cstheme="minorHAnsi"/>
          <w:lang w:eastAsia="es-ES"/>
        </w:rPr>
        <w:t xml:space="preserve">para </w:t>
      </w:r>
      <w:r w:rsidR="00F533B5">
        <w:rPr>
          <w:rFonts w:eastAsia="Times New Roman" w:cstheme="minorHAnsi"/>
          <w:lang w:eastAsia="es-ES"/>
        </w:rPr>
        <w:t>diseño</w:t>
      </w:r>
      <w:r w:rsidRPr="00937EA6">
        <w:rPr>
          <w:rFonts w:eastAsia="Times New Roman" w:cstheme="minorHAnsi"/>
          <w:lang w:eastAsia="es-ES"/>
        </w:rPr>
        <w:t xml:space="preserve"> </w:t>
      </w:r>
      <w:proofErr w:type="spellStart"/>
      <w:r w:rsidRPr="00937EA6">
        <w:rPr>
          <w:rFonts w:eastAsia="Times New Roman" w:cstheme="minorHAnsi"/>
          <w:lang w:eastAsia="es-ES"/>
        </w:rPr>
        <w:t>Desig</w:t>
      </w:r>
      <w:r w:rsidR="002E5766">
        <w:rPr>
          <w:rFonts w:eastAsia="Times New Roman" w:cstheme="minorHAnsi"/>
          <w:lang w:eastAsia="es-ES"/>
        </w:rPr>
        <w:t>n</w:t>
      </w:r>
      <w:r w:rsidRPr="00937EA6">
        <w:rPr>
          <w:rFonts w:eastAsia="Times New Roman" w:cstheme="minorHAnsi"/>
          <w:lang w:eastAsia="es-ES"/>
        </w:rPr>
        <w:t>Vue</w:t>
      </w:r>
      <w:proofErr w:type="spellEnd"/>
      <w:r w:rsidRPr="00937EA6">
        <w:rPr>
          <w:rFonts w:eastAsia="Times New Roman" w:cstheme="minorHAnsi"/>
          <w:lang w:eastAsia="es-ES"/>
        </w:rPr>
        <w:t xml:space="preserve"> </w:t>
      </w:r>
      <w:r w:rsidR="0088643C" w:rsidRPr="00937EA6">
        <w:rPr>
          <w:rFonts w:eastAsia="Times New Roman" w:cstheme="minorHAnsi"/>
          <w:lang w:eastAsia="es-ES"/>
        </w:rPr>
        <w:t>PD2725U</w:t>
      </w:r>
      <w:r w:rsidRPr="00937EA6">
        <w:rPr>
          <w:rFonts w:eastAsia="Times New Roman" w:cstheme="minorHAnsi"/>
          <w:lang w:eastAsia="es-ES"/>
        </w:rPr>
        <w:t xml:space="preserve">, </w:t>
      </w:r>
      <w:r w:rsidR="003643A9">
        <w:rPr>
          <w:rFonts w:eastAsia="Times New Roman" w:cstheme="minorHAnsi"/>
          <w:lang w:eastAsia="es-ES"/>
        </w:rPr>
        <w:t xml:space="preserve">que ofrece </w:t>
      </w:r>
      <w:r w:rsidR="007D18D1">
        <w:rPr>
          <w:rFonts w:eastAsia="Times New Roman" w:cstheme="minorHAnsi"/>
          <w:lang w:eastAsia="es-ES"/>
        </w:rPr>
        <w:t>un mode</w:t>
      </w:r>
      <w:r w:rsidR="005D6404">
        <w:rPr>
          <w:rFonts w:eastAsia="Times New Roman" w:cstheme="minorHAnsi"/>
          <w:lang w:eastAsia="es-ES"/>
        </w:rPr>
        <w:t>l</w:t>
      </w:r>
      <w:r w:rsidR="007D18D1">
        <w:rPr>
          <w:rFonts w:eastAsia="Times New Roman" w:cstheme="minorHAnsi"/>
          <w:lang w:eastAsia="es-ES"/>
        </w:rPr>
        <w:t>o de ajuste de color instantáneo con</w:t>
      </w:r>
      <w:r w:rsidR="00CC7F2C">
        <w:rPr>
          <w:rFonts w:eastAsia="Times New Roman" w:cstheme="minorHAnsi"/>
          <w:lang w:eastAsia="es-ES"/>
        </w:rPr>
        <w:t xml:space="preserve"> una consistencia de color</w:t>
      </w:r>
      <w:r w:rsidR="007D18D1">
        <w:rPr>
          <w:rFonts w:eastAsia="Times New Roman" w:cstheme="minorHAnsi"/>
          <w:lang w:eastAsia="es-ES"/>
        </w:rPr>
        <w:t xml:space="preserve"> </w:t>
      </w:r>
      <w:proofErr w:type="spellStart"/>
      <w:r w:rsidR="007D18D1">
        <w:rPr>
          <w:rFonts w:eastAsia="Times New Roman" w:cstheme="minorHAnsi"/>
          <w:lang w:eastAsia="es-ES"/>
        </w:rPr>
        <w:t>ICCsync</w:t>
      </w:r>
      <w:proofErr w:type="spellEnd"/>
      <w:r w:rsidR="007D18D1">
        <w:rPr>
          <w:rFonts w:eastAsia="Times New Roman" w:cstheme="minorHAnsi"/>
          <w:lang w:eastAsia="es-ES"/>
        </w:rPr>
        <w:t xml:space="preserve"> </w:t>
      </w:r>
      <w:r w:rsidR="000B705D">
        <w:rPr>
          <w:rFonts w:eastAsia="Times New Roman" w:cstheme="minorHAnsi"/>
          <w:lang w:eastAsia="es-ES"/>
        </w:rPr>
        <w:t>en una pantalla</w:t>
      </w:r>
      <w:r w:rsidR="00473733">
        <w:rPr>
          <w:rFonts w:eastAsia="Times New Roman" w:cstheme="minorHAnsi"/>
          <w:lang w:eastAsia="es-ES"/>
        </w:rPr>
        <w:t xml:space="preserve"> giratoria</w:t>
      </w:r>
      <w:r w:rsidR="000B705D">
        <w:rPr>
          <w:rFonts w:eastAsia="Times New Roman" w:cstheme="minorHAnsi"/>
          <w:lang w:eastAsia="es-ES"/>
        </w:rPr>
        <w:t xml:space="preserve"> de </w:t>
      </w:r>
      <w:r w:rsidR="00AA5543">
        <w:t>27 pulgadas</w:t>
      </w:r>
      <w:r w:rsidR="007359CF">
        <w:t xml:space="preserve"> y </w:t>
      </w:r>
      <w:r w:rsidR="005D6404">
        <w:t xml:space="preserve">con </w:t>
      </w:r>
      <w:r w:rsidR="00D53DAB">
        <w:t>más de un billón de colores</w:t>
      </w:r>
      <w:r w:rsidR="005D6404">
        <w:t>.</w:t>
      </w:r>
      <w:r w:rsidR="00304A8D">
        <w:t xml:space="preserve"> </w:t>
      </w:r>
      <w:r w:rsidRPr="00937EA6">
        <w:rPr>
          <w:rFonts w:eastAsia="Times New Roman" w:cstheme="minorHAnsi"/>
          <w:lang w:eastAsia="es-ES"/>
        </w:rPr>
        <w:t xml:space="preserve">Merced a la tecnología exclusiva AQCOLOR que ofrece un rendimiento del color estándar del sector con la uniformidad de las pantallas calibradas por expertos y su consistencia del color, el </w:t>
      </w:r>
      <w:r w:rsidR="00F533B5">
        <w:rPr>
          <w:rFonts w:eastAsia="Times New Roman" w:cstheme="minorHAnsi"/>
          <w:lang w:eastAsia="es-ES"/>
        </w:rPr>
        <w:t>PD2725U</w:t>
      </w:r>
      <w:r w:rsidRPr="00937EA6">
        <w:rPr>
          <w:rFonts w:eastAsia="Times New Roman" w:cstheme="minorHAnsi"/>
          <w:lang w:eastAsia="es-ES"/>
        </w:rPr>
        <w:t xml:space="preserve"> proporciona a los </w:t>
      </w:r>
      <w:r w:rsidR="008C35C3">
        <w:rPr>
          <w:rFonts w:eastAsia="Times New Roman" w:cstheme="minorHAnsi"/>
          <w:lang w:eastAsia="es-ES"/>
        </w:rPr>
        <w:t>diseñadores</w:t>
      </w:r>
      <w:r w:rsidRPr="00937EA6">
        <w:rPr>
          <w:rFonts w:eastAsia="Times New Roman" w:cstheme="minorHAnsi"/>
          <w:lang w:eastAsia="es-ES"/>
        </w:rPr>
        <w:t xml:space="preserve"> la plataforma definitiva para una edición</w:t>
      </w:r>
      <w:r w:rsidR="008C35C3">
        <w:rPr>
          <w:rFonts w:eastAsia="Times New Roman" w:cstheme="minorHAnsi"/>
          <w:lang w:eastAsia="es-ES"/>
        </w:rPr>
        <w:t xml:space="preserve"> </w:t>
      </w:r>
      <w:r w:rsidRPr="00937EA6">
        <w:rPr>
          <w:rFonts w:eastAsia="Times New Roman" w:cstheme="minorHAnsi"/>
          <w:lang w:eastAsia="es-ES"/>
        </w:rPr>
        <w:t xml:space="preserve">precisa y una reproducción </w:t>
      </w:r>
      <w:r w:rsidR="0061500C">
        <w:rPr>
          <w:rFonts w:eastAsia="Times New Roman" w:cstheme="minorHAnsi"/>
          <w:lang w:eastAsia="es-ES"/>
        </w:rPr>
        <w:t>fiel</w:t>
      </w:r>
      <w:r w:rsidRPr="00937EA6">
        <w:rPr>
          <w:rFonts w:eastAsia="Times New Roman" w:cstheme="minorHAnsi"/>
          <w:lang w:eastAsia="es-ES"/>
        </w:rPr>
        <w:t xml:space="preserve"> </w:t>
      </w:r>
      <w:r w:rsidR="00092D62">
        <w:rPr>
          <w:rFonts w:eastAsia="Times New Roman" w:cstheme="minorHAnsi"/>
          <w:lang w:eastAsia="es-ES"/>
        </w:rPr>
        <w:t xml:space="preserve">de </w:t>
      </w:r>
      <w:r w:rsidR="00AD1A72">
        <w:rPr>
          <w:rFonts w:eastAsia="Times New Roman" w:cstheme="minorHAnsi"/>
          <w:lang w:eastAsia="es-ES"/>
        </w:rPr>
        <w:t xml:space="preserve">sus ideas </w:t>
      </w:r>
      <w:r w:rsidR="00725847">
        <w:rPr>
          <w:rFonts w:eastAsia="Times New Roman" w:cstheme="minorHAnsi"/>
          <w:lang w:eastAsia="es-ES"/>
        </w:rPr>
        <w:t>y</w:t>
      </w:r>
      <w:r w:rsidR="00AD1A72">
        <w:rPr>
          <w:rFonts w:eastAsia="Times New Roman" w:cstheme="minorHAnsi"/>
          <w:lang w:eastAsia="es-ES"/>
        </w:rPr>
        <w:t xml:space="preserve"> diseños</w:t>
      </w:r>
      <w:r w:rsidRPr="00937EA6">
        <w:rPr>
          <w:rFonts w:eastAsia="Times New Roman" w:cstheme="minorHAnsi"/>
          <w:lang w:eastAsia="es-ES"/>
        </w:rPr>
        <w:t>.</w:t>
      </w:r>
    </w:p>
    <w:p w14:paraId="27E318DA" w14:textId="77777777" w:rsidR="001651CD" w:rsidRDefault="001651CD" w:rsidP="006B1AD3">
      <w:pPr>
        <w:spacing w:after="0" w:line="360" w:lineRule="auto"/>
        <w:rPr>
          <w:b/>
          <w:bCs/>
        </w:rPr>
      </w:pPr>
    </w:p>
    <w:p w14:paraId="6C65EC33" w14:textId="51764A40" w:rsidR="00300D0A" w:rsidRPr="007D60CE" w:rsidRDefault="001A0D57" w:rsidP="006B1AD3">
      <w:pPr>
        <w:spacing w:after="0" w:line="360" w:lineRule="auto"/>
        <w:rPr>
          <w:b/>
          <w:bCs/>
        </w:rPr>
      </w:pPr>
      <w:r>
        <w:rPr>
          <w:b/>
          <w:bCs/>
        </w:rPr>
        <w:t>Modos de visualización e</w:t>
      </w:r>
      <w:r w:rsidR="001651CD">
        <w:rPr>
          <w:b/>
          <w:bCs/>
        </w:rPr>
        <w:t>specializado</w:t>
      </w:r>
      <w:r>
        <w:rPr>
          <w:b/>
          <w:bCs/>
        </w:rPr>
        <w:t>s</w:t>
      </w:r>
      <w:r w:rsidR="001651CD">
        <w:rPr>
          <w:b/>
          <w:bCs/>
        </w:rPr>
        <w:t xml:space="preserve"> </w:t>
      </w:r>
      <w:r w:rsidR="009A6E61">
        <w:rPr>
          <w:b/>
          <w:bCs/>
        </w:rPr>
        <w:t>en diseño.</w:t>
      </w:r>
    </w:p>
    <w:p w14:paraId="5DD587B4" w14:textId="4B32D0E7" w:rsidR="00300D0A" w:rsidRDefault="002A7660" w:rsidP="00CC0ADF">
      <w:pPr>
        <w:spacing w:after="0" w:line="360" w:lineRule="auto"/>
      </w:pPr>
      <w:r>
        <w:t xml:space="preserve">PD2725U </w:t>
      </w:r>
      <w:r w:rsidR="00315132">
        <w:t xml:space="preserve">ofrece </w:t>
      </w:r>
      <w:r w:rsidR="001A0D57">
        <w:t xml:space="preserve">modos de visualización para ofrecer resultados profesionales. </w:t>
      </w:r>
      <w:r w:rsidR="00305711">
        <w:t>El</w:t>
      </w:r>
      <w:r w:rsidR="00300D0A">
        <w:t xml:space="preserve"> modo</w:t>
      </w:r>
      <w:r w:rsidR="001A0D57">
        <w:t xml:space="preserve"> CAD/CAM </w:t>
      </w:r>
      <w:r w:rsidR="00305711">
        <w:t xml:space="preserve">permite visualizar el contraste de líneas y formas en ilustraciones técnicas. </w:t>
      </w:r>
    </w:p>
    <w:p w14:paraId="28F4DEDB" w14:textId="08F77B09" w:rsidR="00E91A64" w:rsidRDefault="00305711" w:rsidP="00CC0ADF">
      <w:pPr>
        <w:spacing w:after="0" w:line="360" w:lineRule="auto"/>
      </w:pPr>
      <w:r>
        <w:t xml:space="preserve">El </w:t>
      </w:r>
      <w:r w:rsidR="00300D0A">
        <w:t>m</w:t>
      </w:r>
      <w:r>
        <w:t>odo Animación mejora la claridad de las áreas oscuras sin sobreexponer las regiones brillantes. Si trabaja en entornos oscuros</w:t>
      </w:r>
      <w:r w:rsidR="00300D0A">
        <w:t>,</w:t>
      </w:r>
      <w:r>
        <w:t xml:space="preserve"> el </w:t>
      </w:r>
      <w:r w:rsidR="00300D0A">
        <w:t>modo</w:t>
      </w:r>
      <w:r>
        <w:t xml:space="preserve"> </w:t>
      </w:r>
      <w:proofErr w:type="spellStart"/>
      <w:r>
        <w:t>Dark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 se ajusta a sus necesidades</w:t>
      </w:r>
      <w:r w:rsidR="00300D0A">
        <w:t xml:space="preserve"> y</w:t>
      </w:r>
      <w:r>
        <w:t xml:space="preserve"> si lo que necesita es tener dos modos de visualización, </w:t>
      </w:r>
      <w:r w:rsidR="00300D0A">
        <w:t>e</w:t>
      </w:r>
      <w:r>
        <w:t xml:space="preserve">l modo </w:t>
      </w:r>
      <w:proofErr w:type="spellStart"/>
      <w:r>
        <w:t>Dual</w:t>
      </w:r>
      <w:r w:rsidR="00300D0A">
        <w:t>V</w:t>
      </w:r>
      <w:r>
        <w:t>iew</w:t>
      </w:r>
      <w:proofErr w:type="spellEnd"/>
      <w:r w:rsidR="00300D0A">
        <w:t xml:space="preserve"> posibilita verlos </w:t>
      </w:r>
      <w:proofErr w:type="spellStart"/>
      <w:r w:rsidR="00300D0A">
        <w:t>side-by-side</w:t>
      </w:r>
      <w:proofErr w:type="spellEnd"/>
      <w:r w:rsidR="00300D0A">
        <w:t xml:space="preserve">. </w:t>
      </w:r>
    </w:p>
    <w:p w14:paraId="315F8208" w14:textId="34EE5D9B" w:rsidR="006A61A1" w:rsidRDefault="006A61A1" w:rsidP="00A30624">
      <w:pPr>
        <w:spacing w:after="0" w:line="360" w:lineRule="auto"/>
        <w:rPr>
          <w:rFonts w:eastAsia="Times New Roman" w:cstheme="minorHAnsi"/>
          <w:lang w:eastAsia="es-ES"/>
        </w:rPr>
      </w:pPr>
    </w:p>
    <w:p w14:paraId="388B37B5" w14:textId="528F76EC" w:rsidR="00300D0A" w:rsidRPr="00300D0A" w:rsidRDefault="00300D0A" w:rsidP="00A30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theme="minorHAnsi"/>
          <w:b/>
          <w:bCs/>
          <w:color w:val="202124"/>
          <w:lang w:eastAsia="es-ES_tradnl"/>
        </w:rPr>
      </w:pPr>
      <w:r w:rsidRPr="00300D0A">
        <w:rPr>
          <w:rFonts w:eastAsia="Times New Roman" w:cstheme="minorHAnsi"/>
          <w:b/>
          <w:bCs/>
          <w:color w:val="202124"/>
          <w:lang w:eastAsia="es-ES_tradnl"/>
        </w:rPr>
        <w:t xml:space="preserve">Consistencia de color </w:t>
      </w:r>
      <w:proofErr w:type="spellStart"/>
      <w:r w:rsidRPr="00300D0A">
        <w:rPr>
          <w:rFonts w:eastAsia="Times New Roman" w:cstheme="minorHAnsi"/>
          <w:b/>
          <w:bCs/>
          <w:color w:val="202124"/>
          <w:lang w:eastAsia="es-ES_tradnl"/>
        </w:rPr>
        <w:t>ICCsync</w:t>
      </w:r>
      <w:proofErr w:type="spellEnd"/>
    </w:p>
    <w:p w14:paraId="06C329F9" w14:textId="6FB2C70D" w:rsidR="00300D0A" w:rsidRPr="00300D0A" w:rsidRDefault="00300D0A" w:rsidP="00A30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theme="minorHAnsi"/>
          <w:color w:val="202124"/>
          <w:lang w:eastAsia="es-ES_tradnl"/>
        </w:rPr>
      </w:pPr>
      <w:r w:rsidRPr="00300D0A">
        <w:rPr>
          <w:rFonts w:eastAsia="Times New Roman" w:cstheme="minorHAnsi"/>
          <w:color w:val="202124"/>
          <w:lang w:eastAsia="es-ES_tradnl"/>
        </w:rPr>
        <w:t xml:space="preserve">La nueva función de BenQ ayuda a los diseñadores a igualar sin esfuerzo los perfiles de espacio de color ICC (International Color </w:t>
      </w:r>
      <w:proofErr w:type="spellStart"/>
      <w:r w:rsidRPr="00300D0A">
        <w:rPr>
          <w:rFonts w:eastAsia="Times New Roman" w:cstheme="minorHAnsi"/>
          <w:color w:val="202124"/>
          <w:lang w:eastAsia="es-ES_tradnl"/>
        </w:rPr>
        <w:t>Consortium</w:t>
      </w:r>
      <w:proofErr w:type="spellEnd"/>
      <w:r w:rsidRPr="00300D0A">
        <w:rPr>
          <w:rFonts w:eastAsia="Times New Roman" w:cstheme="minorHAnsi"/>
          <w:color w:val="202124"/>
          <w:lang w:eastAsia="es-ES_tradnl"/>
        </w:rPr>
        <w:t xml:space="preserve">) entre monitores y ordenadores. </w:t>
      </w:r>
      <w:proofErr w:type="spellStart"/>
      <w:r w:rsidRPr="00300D0A">
        <w:rPr>
          <w:rFonts w:eastAsia="Times New Roman" w:cstheme="minorHAnsi"/>
          <w:color w:val="202124"/>
          <w:lang w:eastAsia="es-ES_tradnl"/>
        </w:rPr>
        <w:t>ICCsync</w:t>
      </w:r>
      <w:proofErr w:type="spellEnd"/>
      <w:r w:rsidRPr="00300D0A">
        <w:rPr>
          <w:rFonts w:eastAsia="Times New Roman" w:cstheme="minorHAnsi"/>
          <w:color w:val="202124"/>
          <w:lang w:eastAsia="es-ES_tradnl"/>
        </w:rPr>
        <w:t xml:space="preserve"> permite un ajuste instantáneo del modo de color. Contrólelo a través del software </w:t>
      </w:r>
      <w:proofErr w:type="spellStart"/>
      <w:r w:rsidRPr="00300D0A">
        <w:rPr>
          <w:rFonts w:eastAsia="Times New Roman" w:cstheme="minorHAnsi"/>
          <w:color w:val="202124"/>
          <w:lang w:eastAsia="es-ES_tradnl"/>
        </w:rPr>
        <w:t>Display</w:t>
      </w:r>
      <w:proofErr w:type="spellEnd"/>
      <w:r w:rsidRPr="00300D0A">
        <w:rPr>
          <w:rFonts w:eastAsia="Times New Roman" w:cstheme="minorHAnsi"/>
          <w:color w:val="202124"/>
          <w:lang w:eastAsia="es-ES_tradnl"/>
        </w:rPr>
        <w:t xml:space="preserve"> </w:t>
      </w:r>
      <w:proofErr w:type="spellStart"/>
      <w:r w:rsidRPr="00300D0A">
        <w:rPr>
          <w:rFonts w:eastAsia="Times New Roman" w:cstheme="minorHAnsi"/>
          <w:color w:val="202124"/>
          <w:lang w:eastAsia="es-ES_tradnl"/>
        </w:rPr>
        <w:t>Pilot</w:t>
      </w:r>
      <w:proofErr w:type="spellEnd"/>
      <w:r w:rsidRPr="00300D0A">
        <w:rPr>
          <w:rFonts w:eastAsia="Times New Roman" w:cstheme="minorHAnsi"/>
          <w:color w:val="202124"/>
          <w:lang w:eastAsia="es-ES_tradnl"/>
        </w:rPr>
        <w:t xml:space="preserve"> o el propio monitor.</w:t>
      </w:r>
    </w:p>
    <w:p w14:paraId="3789D0A3" w14:textId="77777777" w:rsidR="00300D0A" w:rsidRDefault="00300D0A" w:rsidP="00A30624">
      <w:pPr>
        <w:spacing w:after="0" w:line="360" w:lineRule="auto"/>
        <w:rPr>
          <w:rFonts w:eastAsia="Times New Roman" w:cstheme="minorHAnsi"/>
          <w:lang w:eastAsia="es-ES"/>
        </w:rPr>
      </w:pPr>
    </w:p>
    <w:p w14:paraId="17BC4603" w14:textId="2CE6EA56" w:rsidR="00906FE4" w:rsidRDefault="00906FE4" w:rsidP="00A30624">
      <w:pPr>
        <w:spacing w:after="0" w:line="360" w:lineRule="auto"/>
        <w:rPr>
          <w:rFonts w:eastAsia="Times New Roman" w:cstheme="minorHAnsi"/>
          <w:b/>
          <w:lang w:eastAsia="es-ES"/>
        </w:rPr>
      </w:pPr>
      <w:r w:rsidRPr="00906FE4">
        <w:rPr>
          <w:rFonts w:eastAsia="Times New Roman" w:cstheme="minorHAnsi"/>
          <w:b/>
          <w:lang w:eastAsia="es-ES"/>
        </w:rPr>
        <w:lastRenderedPageBreak/>
        <w:t xml:space="preserve">Certificado VESA </w:t>
      </w:r>
      <w:proofErr w:type="spellStart"/>
      <w:r w:rsidRPr="00906FE4">
        <w:rPr>
          <w:rFonts w:eastAsia="Times New Roman" w:cstheme="minorHAnsi"/>
          <w:b/>
          <w:lang w:eastAsia="es-ES"/>
        </w:rPr>
        <w:t>DisplayHDR</w:t>
      </w:r>
      <w:proofErr w:type="spellEnd"/>
      <w:r w:rsidRPr="00906FE4">
        <w:rPr>
          <w:rFonts w:eastAsia="Times New Roman" w:cstheme="minorHAnsi"/>
          <w:b/>
          <w:lang w:eastAsia="es-ES"/>
        </w:rPr>
        <w:t xml:space="preserve"> 400</w:t>
      </w:r>
    </w:p>
    <w:p w14:paraId="3285CDEF" w14:textId="171EAB7C" w:rsidR="00E2152B" w:rsidRDefault="001B623D" w:rsidP="00A30624">
      <w:pPr>
        <w:spacing w:after="0" w:line="36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El monitor PD2725U </w:t>
      </w:r>
      <w:r w:rsidR="00D5527F">
        <w:rPr>
          <w:rFonts w:eastAsia="Times New Roman" w:cstheme="minorHAnsi"/>
          <w:lang w:eastAsia="es-ES"/>
        </w:rPr>
        <w:t xml:space="preserve">posee HDR-10 </w:t>
      </w:r>
      <w:r w:rsidR="0035240D">
        <w:rPr>
          <w:rFonts w:eastAsia="Times New Roman" w:cstheme="minorHAnsi"/>
          <w:lang w:eastAsia="es-ES"/>
        </w:rPr>
        <w:t>compatible a</w:t>
      </w:r>
      <w:r w:rsidR="00D5527F">
        <w:rPr>
          <w:rFonts w:eastAsia="Times New Roman" w:cstheme="minorHAnsi"/>
          <w:lang w:eastAsia="es-ES"/>
        </w:rPr>
        <w:t xml:space="preserve"> la certificación VESA </w:t>
      </w:r>
      <w:proofErr w:type="spellStart"/>
      <w:r w:rsidR="00D5527F">
        <w:rPr>
          <w:rFonts w:eastAsia="Times New Roman" w:cstheme="minorHAnsi"/>
          <w:lang w:eastAsia="es-ES"/>
        </w:rPr>
        <w:t>DisplayHDR</w:t>
      </w:r>
      <w:proofErr w:type="spellEnd"/>
      <w:r w:rsidR="00D5527F">
        <w:rPr>
          <w:rFonts w:eastAsia="Times New Roman" w:cstheme="minorHAnsi"/>
          <w:lang w:eastAsia="es-ES"/>
        </w:rPr>
        <w:t xml:space="preserve"> 400</w:t>
      </w:r>
      <w:r w:rsidR="0035240D">
        <w:rPr>
          <w:rFonts w:eastAsia="Times New Roman" w:cstheme="minorHAnsi"/>
          <w:lang w:eastAsia="es-ES"/>
        </w:rPr>
        <w:t xml:space="preserve">. </w:t>
      </w:r>
    </w:p>
    <w:p w14:paraId="0EA573F7" w14:textId="77777777" w:rsidR="00E2152B" w:rsidRPr="00E2152B" w:rsidRDefault="00E2152B" w:rsidP="00A30624">
      <w:pPr>
        <w:spacing w:after="0" w:line="360" w:lineRule="auto"/>
        <w:rPr>
          <w:rFonts w:eastAsia="Times New Roman" w:cstheme="minorHAnsi"/>
          <w:lang w:eastAsia="es-ES"/>
        </w:rPr>
      </w:pPr>
    </w:p>
    <w:p w14:paraId="25921763" w14:textId="74B6C0BD" w:rsidR="00906FE4" w:rsidRDefault="003B28B2" w:rsidP="00A30624">
      <w:pPr>
        <w:spacing w:after="0" w:line="360" w:lineRule="auto"/>
        <w:rPr>
          <w:rFonts w:eastAsia="Times New Roman" w:cstheme="minorHAnsi"/>
          <w:b/>
          <w:lang w:eastAsia="es-ES"/>
        </w:rPr>
      </w:pPr>
      <w:r>
        <w:rPr>
          <w:rFonts w:eastAsia="Times New Roman" w:cstheme="minorHAnsi"/>
          <w:b/>
          <w:lang w:eastAsia="es-ES"/>
        </w:rPr>
        <w:t xml:space="preserve">Conectividad </w:t>
      </w:r>
      <w:proofErr w:type="spellStart"/>
      <w:r>
        <w:rPr>
          <w:rFonts w:eastAsia="Times New Roman" w:cstheme="minorHAnsi"/>
          <w:b/>
          <w:lang w:eastAsia="es-ES"/>
        </w:rPr>
        <w:t>Lightning-Fast</w:t>
      </w:r>
      <w:proofErr w:type="spellEnd"/>
      <w:r>
        <w:rPr>
          <w:rFonts w:eastAsia="Times New Roman" w:cstheme="minorHAnsi"/>
          <w:b/>
          <w:lang w:eastAsia="es-ES"/>
        </w:rPr>
        <w:t xml:space="preserve"> </w:t>
      </w:r>
      <w:r w:rsidR="00327AF7" w:rsidRPr="00327AF7">
        <w:rPr>
          <w:rFonts w:eastAsia="Times New Roman" w:cstheme="minorHAnsi"/>
          <w:b/>
          <w:lang w:eastAsia="es-ES"/>
        </w:rPr>
        <w:t>Thunderbolt 3</w:t>
      </w:r>
    </w:p>
    <w:p w14:paraId="7597EF53" w14:textId="09DF8E3B" w:rsidR="00487D6E" w:rsidRDefault="003B28B2" w:rsidP="00A30624">
      <w:pPr>
        <w:spacing w:after="0" w:line="360" w:lineRule="auto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>PD2725U cuenta con</w:t>
      </w:r>
      <w:r w:rsidR="00E2152B">
        <w:rPr>
          <w:rFonts w:eastAsia="Times New Roman" w:cstheme="minorHAnsi"/>
          <w:bCs/>
          <w:lang w:eastAsia="es-ES"/>
        </w:rPr>
        <w:t xml:space="preserve"> conectividad</w:t>
      </w:r>
      <w:r w:rsidR="00874A89">
        <w:rPr>
          <w:rFonts w:eastAsia="Times New Roman" w:cstheme="minorHAnsi"/>
          <w:bCs/>
          <w:lang w:eastAsia="es-ES"/>
        </w:rPr>
        <w:t xml:space="preserve"> Thunderbolt 3 </w:t>
      </w:r>
      <w:r w:rsidR="00E2152B">
        <w:rPr>
          <w:rFonts w:eastAsia="Times New Roman" w:cstheme="minorHAnsi"/>
          <w:bCs/>
          <w:lang w:eastAsia="es-ES"/>
        </w:rPr>
        <w:t xml:space="preserve">a través de dos puertos USB-C con suministro de 65W. Esto </w:t>
      </w:r>
      <w:r w:rsidR="00874A89">
        <w:rPr>
          <w:rFonts w:eastAsia="Times New Roman" w:cstheme="minorHAnsi"/>
          <w:bCs/>
          <w:lang w:eastAsia="es-ES"/>
        </w:rPr>
        <w:t xml:space="preserve">permite transmitir </w:t>
      </w:r>
      <w:r w:rsidR="00E2152B">
        <w:rPr>
          <w:rFonts w:eastAsia="Times New Roman" w:cstheme="minorHAnsi"/>
          <w:bCs/>
          <w:lang w:eastAsia="es-ES"/>
        </w:rPr>
        <w:t>el contenido hasta dos monitores</w:t>
      </w:r>
      <w:r>
        <w:rPr>
          <w:rFonts w:eastAsia="Times New Roman" w:cstheme="minorHAnsi"/>
          <w:bCs/>
          <w:lang w:eastAsia="es-ES"/>
        </w:rPr>
        <w:t xml:space="preserve"> </w:t>
      </w:r>
      <w:r w:rsidR="00E2152B">
        <w:rPr>
          <w:rFonts w:eastAsia="Times New Roman" w:cstheme="minorHAnsi"/>
          <w:bCs/>
          <w:lang w:eastAsia="es-ES"/>
        </w:rPr>
        <w:t>4K mientras trasfiere audio, v</w:t>
      </w:r>
      <w:r w:rsidR="00B67FBE">
        <w:rPr>
          <w:rFonts w:eastAsia="Times New Roman" w:cstheme="minorHAnsi"/>
          <w:bCs/>
          <w:lang w:eastAsia="es-ES"/>
        </w:rPr>
        <w:t>í</w:t>
      </w:r>
      <w:r w:rsidR="00E2152B">
        <w:rPr>
          <w:rFonts w:eastAsia="Times New Roman" w:cstheme="minorHAnsi"/>
          <w:bCs/>
          <w:lang w:eastAsia="es-ES"/>
        </w:rPr>
        <w:t xml:space="preserve">deo y datos sin problemas.  </w:t>
      </w:r>
    </w:p>
    <w:p w14:paraId="347AA8D7" w14:textId="77777777" w:rsidR="00A72A12" w:rsidRDefault="00A72A12" w:rsidP="00A30624">
      <w:pPr>
        <w:spacing w:after="0" w:line="360" w:lineRule="auto"/>
        <w:rPr>
          <w:rFonts w:eastAsia="Times New Roman" w:cstheme="minorHAnsi"/>
          <w:bCs/>
          <w:lang w:eastAsia="es-ES"/>
        </w:rPr>
      </w:pPr>
    </w:p>
    <w:p w14:paraId="28AC175A" w14:textId="38050AC3" w:rsidR="00327AF7" w:rsidRDefault="00327AF7" w:rsidP="00A30624">
      <w:pPr>
        <w:spacing w:after="0" w:line="360" w:lineRule="auto"/>
        <w:rPr>
          <w:rFonts w:eastAsia="Times New Roman" w:cstheme="minorHAnsi"/>
          <w:b/>
          <w:lang w:eastAsia="es-ES"/>
        </w:rPr>
      </w:pPr>
      <w:r>
        <w:rPr>
          <w:rFonts w:eastAsia="Times New Roman" w:cstheme="minorHAnsi"/>
          <w:b/>
          <w:lang w:eastAsia="es-ES"/>
        </w:rPr>
        <w:t>Pantalla</w:t>
      </w:r>
      <w:r w:rsidR="00874A89">
        <w:rPr>
          <w:rFonts w:eastAsia="Times New Roman" w:cstheme="minorHAnsi"/>
          <w:b/>
          <w:lang w:eastAsia="es-ES"/>
        </w:rPr>
        <w:t xml:space="preserve"> 4K</w:t>
      </w:r>
      <w:r>
        <w:rPr>
          <w:rFonts w:eastAsia="Times New Roman" w:cstheme="minorHAnsi"/>
          <w:b/>
          <w:lang w:eastAsia="es-ES"/>
        </w:rPr>
        <w:t xml:space="preserve"> </w:t>
      </w:r>
      <w:proofErr w:type="spellStart"/>
      <w:r w:rsidR="00874A89">
        <w:rPr>
          <w:rFonts w:eastAsia="Times New Roman" w:cstheme="minorHAnsi"/>
          <w:b/>
          <w:lang w:eastAsia="es-ES"/>
        </w:rPr>
        <w:t>Bezelless</w:t>
      </w:r>
      <w:proofErr w:type="spellEnd"/>
      <w:r>
        <w:rPr>
          <w:rFonts w:eastAsia="Times New Roman" w:cstheme="minorHAnsi"/>
          <w:b/>
          <w:lang w:eastAsia="es-ES"/>
        </w:rPr>
        <w:t xml:space="preserve"> 27 pulgadas </w:t>
      </w:r>
    </w:p>
    <w:p w14:paraId="4FC36CEF" w14:textId="28FFF9B6" w:rsidR="00E2152B" w:rsidRPr="00874A89" w:rsidRDefault="00874A89" w:rsidP="00A30624">
      <w:pPr>
        <w:spacing w:after="0" w:line="360" w:lineRule="auto"/>
        <w:rPr>
          <w:rFonts w:eastAsia="Times New Roman" w:cstheme="minorHAnsi"/>
          <w:bCs/>
          <w:lang w:eastAsia="es-ES"/>
        </w:rPr>
      </w:pPr>
      <w:r w:rsidRPr="00874A89">
        <w:rPr>
          <w:rFonts w:eastAsia="Times New Roman" w:cstheme="minorHAnsi"/>
          <w:bCs/>
          <w:lang w:eastAsia="es-ES"/>
        </w:rPr>
        <w:t>Un monitor preparado para desatar tu creatividad</w:t>
      </w:r>
      <w:r>
        <w:rPr>
          <w:rFonts w:eastAsia="Times New Roman" w:cstheme="minorHAnsi"/>
          <w:bCs/>
          <w:lang w:eastAsia="es-ES"/>
        </w:rPr>
        <w:t xml:space="preserve">. </w:t>
      </w:r>
      <w:r w:rsidR="00B03901">
        <w:rPr>
          <w:rFonts w:eastAsia="Times New Roman" w:cstheme="minorHAnsi"/>
          <w:bCs/>
          <w:lang w:eastAsia="es-ES"/>
        </w:rPr>
        <w:t>P</w:t>
      </w:r>
      <w:r w:rsidR="0059099A">
        <w:rPr>
          <w:rFonts w:eastAsia="Times New Roman" w:cstheme="minorHAnsi"/>
          <w:bCs/>
          <w:lang w:eastAsia="es-ES"/>
        </w:rPr>
        <w:t>ensado para diseñadores gráficos</w:t>
      </w:r>
      <w:r w:rsidR="002F6429">
        <w:rPr>
          <w:rFonts w:eastAsia="Times New Roman" w:cstheme="minorHAnsi"/>
          <w:bCs/>
          <w:lang w:eastAsia="es-ES"/>
        </w:rPr>
        <w:t xml:space="preserve"> con un tamaño de pantalla abierta a infinidad de posibilidades.</w:t>
      </w:r>
    </w:p>
    <w:p w14:paraId="20926693" w14:textId="77777777" w:rsidR="00D34933" w:rsidRDefault="00D34933" w:rsidP="00A30624">
      <w:pPr>
        <w:spacing w:after="0" w:line="360" w:lineRule="auto"/>
        <w:rPr>
          <w:rFonts w:eastAsia="Times New Roman" w:cstheme="minorHAnsi"/>
          <w:b/>
          <w:lang w:eastAsia="es-ES"/>
        </w:rPr>
      </w:pPr>
    </w:p>
    <w:p w14:paraId="774B2FA9" w14:textId="251B3A25" w:rsidR="00327AF7" w:rsidRDefault="00327AF7" w:rsidP="00A30624">
      <w:pPr>
        <w:spacing w:after="0" w:line="360" w:lineRule="auto"/>
        <w:rPr>
          <w:rFonts w:eastAsia="Times New Roman" w:cstheme="minorHAnsi"/>
          <w:b/>
          <w:lang w:eastAsia="es-ES"/>
        </w:rPr>
      </w:pPr>
      <w:r>
        <w:rPr>
          <w:rFonts w:eastAsia="Times New Roman" w:cstheme="minorHAnsi"/>
          <w:b/>
          <w:lang w:eastAsia="es-ES"/>
        </w:rPr>
        <w:t>Preparado para usuarios Mac</w:t>
      </w:r>
    </w:p>
    <w:p w14:paraId="69820DC5" w14:textId="61B3EE34" w:rsidR="003B28B2" w:rsidRDefault="003B28B2" w:rsidP="00A30624">
      <w:pPr>
        <w:spacing w:after="0" w:line="360" w:lineRule="auto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>Elimina la complejidad innecesaria del proceso creativo. El PD2725U elimina los ajustes tediosos y repetitivos, liberando su tiempo y energía para lo que más importa</w:t>
      </w:r>
      <w:r w:rsidR="00305D64">
        <w:rPr>
          <w:rFonts w:eastAsia="Times New Roman" w:cstheme="minorHAnsi"/>
          <w:bCs/>
          <w:lang w:eastAsia="es-ES"/>
        </w:rPr>
        <w:t>.</w:t>
      </w:r>
    </w:p>
    <w:p w14:paraId="4EC6363A" w14:textId="77777777" w:rsidR="00D34933" w:rsidRDefault="00D34933" w:rsidP="00A30624">
      <w:pPr>
        <w:spacing w:after="0" w:line="360" w:lineRule="auto"/>
        <w:rPr>
          <w:rFonts w:eastAsia="Times New Roman" w:cstheme="minorHAnsi"/>
          <w:bCs/>
          <w:lang w:eastAsia="es-ES"/>
        </w:rPr>
      </w:pPr>
    </w:p>
    <w:p w14:paraId="42E8B641" w14:textId="15E66490" w:rsidR="007D60CE" w:rsidRDefault="007D60CE" w:rsidP="00A30624">
      <w:pPr>
        <w:spacing w:after="0" w:line="360" w:lineRule="auto"/>
        <w:rPr>
          <w:rFonts w:eastAsia="Times New Roman" w:cstheme="minorHAnsi"/>
          <w:b/>
          <w:lang w:eastAsia="es-ES"/>
        </w:rPr>
      </w:pPr>
      <w:r w:rsidRPr="007D60CE">
        <w:rPr>
          <w:rFonts w:eastAsia="Times New Roman" w:cstheme="minorHAnsi"/>
          <w:b/>
          <w:lang w:eastAsia="es-ES"/>
        </w:rPr>
        <w:t>Amplia gama de colores para u</w:t>
      </w:r>
      <w:r>
        <w:rPr>
          <w:rFonts w:eastAsia="Times New Roman" w:cstheme="minorHAnsi"/>
          <w:b/>
          <w:lang w:eastAsia="es-ES"/>
        </w:rPr>
        <w:t>na reproducción impecable</w:t>
      </w:r>
    </w:p>
    <w:p w14:paraId="3912344F" w14:textId="4FFB5A94" w:rsidR="007D60CE" w:rsidRPr="00F10845" w:rsidRDefault="007D60CE" w:rsidP="00A30624">
      <w:pPr>
        <w:spacing w:after="0" w:line="360" w:lineRule="auto"/>
        <w:rPr>
          <w:rFonts w:eastAsia="Times New Roman" w:cstheme="minorHAnsi"/>
          <w:b/>
          <w:lang w:eastAsia="es-ES"/>
        </w:rPr>
      </w:pPr>
      <w:r>
        <w:rPr>
          <w:rFonts w:eastAsia="Times New Roman" w:cstheme="minorHAnsi"/>
          <w:bCs/>
          <w:lang w:eastAsia="es-ES"/>
        </w:rPr>
        <w:t>Espacio de color 100% SRGB y 95% P3 y Rec.709</w:t>
      </w:r>
      <w:r w:rsidR="00F10845">
        <w:rPr>
          <w:rFonts w:eastAsia="Times New Roman" w:cstheme="minorHAnsi"/>
          <w:bCs/>
          <w:lang w:eastAsia="es-ES"/>
        </w:rPr>
        <w:t xml:space="preserve">. </w:t>
      </w:r>
      <w:r w:rsidR="00F10845" w:rsidRPr="00F10845">
        <w:rPr>
          <w:rFonts w:eastAsia="Times New Roman" w:cstheme="minorHAnsi"/>
          <w:bCs/>
          <w:lang w:eastAsia="es-ES"/>
        </w:rPr>
        <w:t xml:space="preserve">Como cada vez </w:t>
      </w:r>
      <w:r w:rsidR="00DC05F2" w:rsidRPr="00F10845">
        <w:rPr>
          <w:rFonts w:eastAsia="Times New Roman" w:cstheme="minorHAnsi"/>
          <w:bCs/>
          <w:lang w:eastAsia="es-ES"/>
        </w:rPr>
        <w:t>m</w:t>
      </w:r>
      <w:r w:rsidR="00DC05F2">
        <w:rPr>
          <w:rFonts w:eastAsia="Times New Roman" w:cstheme="minorHAnsi"/>
          <w:bCs/>
          <w:lang w:eastAsia="es-ES"/>
        </w:rPr>
        <w:t>á</w:t>
      </w:r>
      <w:r w:rsidR="00DC05F2" w:rsidRPr="00F10845">
        <w:rPr>
          <w:rFonts w:eastAsia="Times New Roman" w:cstheme="minorHAnsi"/>
          <w:bCs/>
          <w:lang w:eastAsia="es-ES"/>
        </w:rPr>
        <w:t>s</w:t>
      </w:r>
      <w:r w:rsidR="00F10845" w:rsidRPr="00F10845">
        <w:rPr>
          <w:rFonts w:eastAsia="Times New Roman" w:cstheme="minorHAnsi"/>
          <w:bCs/>
          <w:lang w:eastAsia="es-ES"/>
        </w:rPr>
        <w:t xml:space="preserve"> aplicaciones, dispositivos y webs adoptan</w:t>
      </w:r>
      <w:r w:rsidR="00F10845">
        <w:rPr>
          <w:rFonts w:eastAsia="Times New Roman" w:cstheme="minorHAnsi"/>
          <w:bCs/>
          <w:lang w:eastAsia="es-ES"/>
        </w:rPr>
        <w:t xml:space="preserve"> </w:t>
      </w:r>
      <w:r w:rsidR="00F10845" w:rsidRPr="00F10845">
        <w:rPr>
          <w:rFonts w:eastAsia="Times New Roman" w:cstheme="minorHAnsi"/>
          <w:bCs/>
          <w:lang w:eastAsia="es-ES"/>
        </w:rPr>
        <w:t>P3</w:t>
      </w:r>
      <w:r w:rsidR="00F10845">
        <w:rPr>
          <w:rFonts w:eastAsia="Times New Roman" w:cstheme="minorHAnsi"/>
          <w:bCs/>
          <w:lang w:eastAsia="es-ES"/>
        </w:rPr>
        <w:t>, el PD2725u puede fácilmente cargar y reproducir imágenes importadas de diferentes fuentes.</w:t>
      </w:r>
    </w:p>
    <w:p w14:paraId="2BC1BFD2" w14:textId="77777777" w:rsidR="007D60CE" w:rsidRPr="00F10845" w:rsidRDefault="007D60CE" w:rsidP="00A30624">
      <w:pPr>
        <w:spacing w:after="0" w:line="360" w:lineRule="auto"/>
        <w:rPr>
          <w:rFonts w:eastAsia="Times New Roman" w:cstheme="minorHAnsi"/>
          <w:bCs/>
          <w:lang w:eastAsia="es-ES"/>
        </w:rPr>
      </w:pPr>
    </w:p>
    <w:p w14:paraId="1BCEFBFC" w14:textId="77777777" w:rsidR="007D60CE" w:rsidRPr="007D60CE" w:rsidRDefault="007D60CE" w:rsidP="00A30624">
      <w:pPr>
        <w:spacing w:after="0" w:line="360" w:lineRule="auto"/>
        <w:rPr>
          <w:b/>
          <w:bCs/>
        </w:rPr>
      </w:pPr>
      <w:r w:rsidRPr="007D60CE">
        <w:rPr>
          <w:b/>
          <w:bCs/>
        </w:rPr>
        <w:t xml:space="preserve">Certificado con </w:t>
      </w:r>
      <w:proofErr w:type="spellStart"/>
      <w:r w:rsidRPr="007D60CE">
        <w:rPr>
          <w:b/>
          <w:bCs/>
        </w:rPr>
        <w:t>CalMAN</w:t>
      </w:r>
      <w:proofErr w:type="spellEnd"/>
      <w:r w:rsidRPr="007D60CE">
        <w:rPr>
          <w:b/>
          <w:bCs/>
        </w:rPr>
        <w:t xml:space="preserve"> </w:t>
      </w:r>
      <w:proofErr w:type="spellStart"/>
      <w:r w:rsidRPr="007D60CE">
        <w:rPr>
          <w:b/>
          <w:bCs/>
        </w:rPr>
        <w:t>Verified</w:t>
      </w:r>
      <w:proofErr w:type="spellEnd"/>
      <w:r w:rsidRPr="007D60CE">
        <w:rPr>
          <w:b/>
          <w:bCs/>
        </w:rPr>
        <w:t xml:space="preserve"> y Pantone</w:t>
      </w:r>
    </w:p>
    <w:p w14:paraId="18170356" w14:textId="1B839508" w:rsidR="001D4911" w:rsidRPr="00300D0A" w:rsidRDefault="007D60CE" w:rsidP="00A30624">
      <w:pPr>
        <w:spacing w:after="0" w:line="360" w:lineRule="auto"/>
      </w:pPr>
      <w:r w:rsidRPr="007D60CE">
        <w:t xml:space="preserve">Los profesionales creativos exigen excelencia. BenQ se la ofrece. El PD2725U de BenQ cuenta con el certificado de </w:t>
      </w:r>
      <w:proofErr w:type="spellStart"/>
      <w:r w:rsidRPr="007D60CE">
        <w:t>CalMAN</w:t>
      </w:r>
      <w:proofErr w:type="spellEnd"/>
      <w:r w:rsidRPr="007D60CE">
        <w:t xml:space="preserve"> </w:t>
      </w:r>
      <w:proofErr w:type="spellStart"/>
      <w:r w:rsidRPr="007D60CE">
        <w:t>Verified</w:t>
      </w:r>
      <w:proofErr w:type="spellEnd"/>
      <w:r w:rsidRPr="007D60CE">
        <w:t xml:space="preserve"> y Pantone. Confíe en sus colores. </w:t>
      </w:r>
    </w:p>
    <w:p w14:paraId="30AFFF7F" w14:textId="6AE96EF2" w:rsidR="001D4911" w:rsidRPr="00994643" w:rsidRDefault="001D4911" w:rsidP="00A30624">
      <w:pPr>
        <w:spacing w:after="0" w:line="360" w:lineRule="auto"/>
        <w:rPr>
          <w:color w:val="2F5496" w:themeColor="accent1" w:themeShade="BF"/>
        </w:rPr>
      </w:pPr>
    </w:p>
    <w:p w14:paraId="15ED6C38" w14:textId="77777777" w:rsidR="00234C88" w:rsidRPr="00F875BA" w:rsidRDefault="00234C88" w:rsidP="00A30624">
      <w:pPr>
        <w:tabs>
          <w:tab w:val="left" w:pos="1440"/>
          <w:tab w:val="left" w:pos="5760"/>
        </w:tabs>
        <w:spacing w:after="0" w:line="360" w:lineRule="auto"/>
        <w:jc w:val="both"/>
        <w:rPr>
          <w:b/>
          <w:bCs/>
          <w:color w:val="000000" w:themeColor="text1"/>
        </w:rPr>
      </w:pPr>
      <w:r w:rsidRPr="00F875BA">
        <w:rPr>
          <w:b/>
          <w:color w:val="000000" w:themeColor="text1"/>
        </w:rPr>
        <w:t>ACERCA DE RODOLFO BIBER, S.A.</w:t>
      </w:r>
    </w:p>
    <w:p w14:paraId="18522284" w14:textId="1ADBE8C5" w:rsidR="001D4911" w:rsidRPr="00D5527F" w:rsidRDefault="004A70F8" w:rsidP="00A30624">
      <w:pPr>
        <w:spacing w:after="0" w:line="360" w:lineRule="auto"/>
        <w:rPr>
          <w:color w:val="000000" w:themeColor="text1"/>
        </w:rPr>
      </w:pPr>
      <w:r w:rsidRPr="00D5527F">
        <w:rPr>
          <w:color w:val="000000" w:themeColor="text1"/>
        </w:rPr>
        <w:t xml:space="preserve">Desde hace más de 60 años que Rodolfo Biber, S.A. es importador y distribuidor especializado en productos de fotografía y de vídeo en España. Representa a marcas tan prestigiosas como Hasselblad, </w:t>
      </w:r>
      <w:proofErr w:type="spellStart"/>
      <w:r w:rsidRPr="00D5527F">
        <w:rPr>
          <w:color w:val="000000" w:themeColor="text1"/>
        </w:rPr>
        <w:t>Tamron</w:t>
      </w:r>
      <w:proofErr w:type="spellEnd"/>
      <w:r w:rsidRPr="00D5527F">
        <w:rPr>
          <w:color w:val="000000" w:themeColor="text1"/>
        </w:rPr>
        <w:t xml:space="preserve">, Samyang, </w:t>
      </w:r>
      <w:proofErr w:type="spellStart"/>
      <w:r w:rsidRPr="00D5527F">
        <w:rPr>
          <w:color w:val="000000" w:themeColor="text1"/>
        </w:rPr>
        <w:t>Rotolight</w:t>
      </w:r>
      <w:proofErr w:type="spellEnd"/>
      <w:r w:rsidRPr="00D5527F">
        <w:rPr>
          <w:color w:val="000000" w:themeColor="text1"/>
        </w:rPr>
        <w:t xml:space="preserve">, </w:t>
      </w:r>
      <w:proofErr w:type="spellStart"/>
      <w:r w:rsidRPr="00D5527F">
        <w:rPr>
          <w:color w:val="000000" w:themeColor="text1"/>
        </w:rPr>
        <w:t>Angelbird</w:t>
      </w:r>
      <w:proofErr w:type="spellEnd"/>
      <w:r w:rsidRPr="00D5527F">
        <w:rPr>
          <w:color w:val="000000" w:themeColor="text1"/>
        </w:rPr>
        <w:t xml:space="preserve">, </w:t>
      </w:r>
      <w:proofErr w:type="spellStart"/>
      <w:r w:rsidRPr="00D5527F">
        <w:rPr>
          <w:color w:val="000000" w:themeColor="text1"/>
        </w:rPr>
        <w:t>Tourbox</w:t>
      </w:r>
      <w:proofErr w:type="spellEnd"/>
      <w:r w:rsidRPr="00D5527F">
        <w:rPr>
          <w:color w:val="000000" w:themeColor="text1"/>
        </w:rPr>
        <w:t xml:space="preserve"> y Peli, entre otras. Sus Oficinas Centrales se encuentran en Madrid y desde allí dirige a su equipo de delegados de ventas que cubren la totalidad de España, Portugal, Andorra y Gibraltar.</w:t>
      </w:r>
    </w:p>
    <w:p w14:paraId="08802868" w14:textId="77777777" w:rsidR="0061500C" w:rsidRPr="0061500C" w:rsidRDefault="0061500C" w:rsidP="0061500C">
      <w:pPr>
        <w:spacing w:after="0" w:line="360" w:lineRule="auto"/>
        <w:rPr>
          <w:color w:val="000000" w:themeColor="text1"/>
        </w:rPr>
      </w:pPr>
    </w:p>
    <w:sectPr w:rsidR="0061500C" w:rsidRPr="0061500C" w:rsidSect="00906F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39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EF88E" w14:textId="77777777" w:rsidR="00670166" w:rsidRDefault="00670166" w:rsidP="004B43ED">
      <w:pPr>
        <w:spacing w:after="0" w:line="240" w:lineRule="auto"/>
      </w:pPr>
      <w:r>
        <w:separator/>
      </w:r>
    </w:p>
  </w:endnote>
  <w:endnote w:type="continuationSeparator" w:id="0">
    <w:p w14:paraId="023DE2B0" w14:textId="77777777" w:rsidR="00670166" w:rsidRDefault="00670166" w:rsidP="004B43ED">
      <w:pPr>
        <w:spacing w:after="0" w:line="240" w:lineRule="auto"/>
      </w:pPr>
      <w:r>
        <w:continuationSeparator/>
      </w:r>
    </w:p>
  </w:endnote>
  <w:endnote w:type="continuationNotice" w:id="1">
    <w:p w14:paraId="556BAEDD" w14:textId="77777777" w:rsidR="00670166" w:rsidRDefault="006701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A83BD" w14:textId="77777777" w:rsidR="00906FE4" w:rsidRDefault="00906FE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A39BF" w14:textId="77777777" w:rsidR="00906FE4" w:rsidRDefault="00906FE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D1710" w14:textId="77777777" w:rsidR="00906FE4" w:rsidRDefault="00906F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5DB7BC" w14:textId="77777777" w:rsidR="00670166" w:rsidRDefault="00670166" w:rsidP="004B43ED">
      <w:pPr>
        <w:spacing w:after="0" w:line="240" w:lineRule="auto"/>
      </w:pPr>
      <w:r>
        <w:separator/>
      </w:r>
    </w:p>
  </w:footnote>
  <w:footnote w:type="continuationSeparator" w:id="0">
    <w:p w14:paraId="098C4AD0" w14:textId="77777777" w:rsidR="00670166" w:rsidRDefault="00670166" w:rsidP="004B43ED">
      <w:pPr>
        <w:spacing w:after="0" w:line="240" w:lineRule="auto"/>
      </w:pPr>
      <w:r>
        <w:continuationSeparator/>
      </w:r>
    </w:p>
  </w:footnote>
  <w:footnote w:type="continuationNotice" w:id="1">
    <w:p w14:paraId="47F6EABD" w14:textId="77777777" w:rsidR="00670166" w:rsidRDefault="006701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B9A7E" w14:textId="77777777" w:rsidR="00906FE4" w:rsidRDefault="00906FE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54E3C" w14:textId="6EB294F1" w:rsidR="00C66E4D" w:rsidRDefault="000F06DB">
    <w:pPr>
      <w:pStyle w:val="Encabezado"/>
    </w:pPr>
    <w:r>
      <w:rPr>
        <w:noProof/>
      </w:rPr>
      <w:drawing>
        <wp:anchor distT="0" distB="0" distL="114300" distR="114300" simplePos="0" relativeHeight="251658241" behindDoc="0" locked="0" layoutInCell="1" allowOverlap="1" wp14:anchorId="5AE25CCD" wp14:editId="6CDF7A02">
          <wp:simplePos x="0" y="0"/>
          <wp:positionH relativeFrom="column">
            <wp:posOffset>-156210</wp:posOffset>
          </wp:positionH>
          <wp:positionV relativeFrom="paragraph">
            <wp:posOffset>-173355</wp:posOffset>
          </wp:positionV>
          <wp:extent cx="1461135" cy="815340"/>
          <wp:effectExtent l="0" t="0" r="5715" b="3810"/>
          <wp:wrapThrough wrapText="bothSides">
            <wp:wrapPolygon edited="0">
              <wp:start x="0" y="0"/>
              <wp:lineTo x="0" y="21196"/>
              <wp:lineTo x="21403" y="21196"/>
              <wp:lineTo x="21403" y="0"/>
              <wp:lineTo x="0" y="0"/>
            </wp:wrapPolygon>
          </wp:wrapThrough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25" t="17647" r="10423" b="15508"/>
                  <a:stretch/>
                </pic:blipFill>
                <pic:spPr bwMode="auto">
                  <a:xfrm>
                    <a:off x="0" y="0"/>
                    <a:ext cx="146113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6E4D">
      <w:rPr>
        <w:noProof/>
      </w:rPr>
      <w:drawing>
        <wp:anchor distT="0" distB="0" distL="114300" distR="114300" simplePos="0" relativeHeight="251658240" behindDoc="0" locked="0" layoutInCell="1" allowOverlap="1" wp14:anchorId="756534FF" wp14:editId="092652C3">
          <wp:simplePos x="0" y="0"/>
          <wp:positionH relativeFrom="column">
            <wp:posOffset>3981450</wp:posOffset>
          </wp:positionH>
          <wp:positionV relativeFrom="paragraph">
            <wp:posOffset>56515</wp:posOffset>
          </wp:positionV>
          <wp:extent cx="1576705" cy="509905"/>
          <wp:effectExtent l="0" t="0" r="4445" b="0"/>
          <wp:wrapNone/>
          <wp:docPr id="6" name="Imagen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0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1DD6A" w14:textId="77777777" w:rsidR="00906FE4" w:rsidRDefault="00906FE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5C7CD8"/>
    <w:multiLevelType w:val="hybridMultilevel"/>
    <w:tmpl w:val="078A7E4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911"/>
    <w:rsid w:val="00037F65"/>
    <w:rsid w:val="00075DDB"/>
    <w:rsid w:val="00092D62"/>
    <w:rsid w:val="00095665"/>
    <w:rsid w:val="000B705D"/>
    <w:rsid w:val="000C6BF1"/>
    <w:rsid w:val="000D2A9D"/>
    <w:rsid w:val="000E35A0"/>
    <w:rsid w:val="000F06DB"/>
    <w:rsid w:val="000F5C8B"/>
    <w:rsid w:val="0011031D"/>
    <w:rsid w:val="001144F1"/>
    <w:rsid w:val="0013781D"/>
    <w:rsid w:val="00163DCC"/>
    <w:rsid w:val="001651CD"/>
    <w:rsid w:val="001657EE"/>
    <w:rsid w:val="00185E88"/>
    <w:rsid w:val="001A0D57"/>
    <w:rsid w:val="001A6B58"/>
    <w:rsid w:val="001B2A0B"/>
    <w:rsid w:val="001B623D"/>
    <w:rsid w:val="001C72EC"/>
    <w:rsid w:val="001D2429"/>
    <w:rsid w:val="001D4911"/>
    <w:rsid w:val="001F0BC1"/>
    <w:rsid w:val="002030EF"/>
    <w:rsid w:val="0022369E"/>
    <w:rsid w:val="00226B45"/>
    <w:rsid w:val="00234C88"/>
    <w:rsid w:val="002465E1"/>
    <w:rsid w:val="002636D0"/>
    <w:rsid w:val="00266B59"/>
    <w:rsid w:val="00273AFA"/>
    <w:rsid w:val="00293E96"/>
    <w:rsid w:val="002A0133"/>
    <w:rsid w:val="002A7660"/>
    <w:rsid w:val="002E3D09"/>
    <w:rsid w:val="002E5766"/>
    <w:rsid w:val="002E59DD"/>
    <w:rsid w:val="002E607A"/>
    <w:rsid w:val="002F6429"/>
    <w:rsid w:val="00300D0A"/>
    <w:rsid w:val="00304A8D"/>
    <w:rsid w:val="00305711"/>
    <w:rsid w:val="00305D64"/>
    <w:rsid w:val="00315132"/>
    <w:rsid w:val="00327AF7"/>
    <w:rsid w:val="00341A0A"/>
    <w:rsid w:val="0034225B"/>
    <w:rsid w:val="00342AD0"/>
    <w:rsid w:val="0035240D"/>
    <w:rsid w:val="003643A9"/>
    <w:rsid w:val="003A0AF6"/>
    <w:rsid w:val="003B28B2"/>
    <w:rsid w:val="003C2B33"/>
    <w:rsid w:val="003D7A28"/>
    <w:rsid w:val="004315E3"/>
    <w:rsid w:val="00434176"/>
    <w:rsid w:val="00473733"/>
    <w:rsid w:val="00487D6E"/>
    <w:rsid w:val="004946B0"/>
    <w:rsid w:val="004A0323"/>
    <w:rsid w:val="004A70F8"/>
    <w:rsid w:val="004B4381"/>
    <w:rsid w:val="004B43ED"/>
    <w:rsid w:val="004E168D"/>
    <w:rsid w:val="004E57F6"/>
    <w:rsid w:val="004F4CD9"/>
    <w:rsid w:val="005224A0"/>
    <w:rsid w:val="00525CFC"/>
    <w:rsid w:val="005560D6"/>
    <w:rsid w:val="0057133D"/>
    <w:rsid w:val="0058354A"/>
    <w:rsid w:val="0058580F"/>
    <w:rsid w:val="0059099A"/>
    <w:rsid w:val="005A6710"/>
    <w:rsid w:val="005C6E18"/>
    <w:rsid w:val="005D2DC5"/>
    <w:rsid w:val="005D6404"/>
    <w:rsid w:val="005E6FB6"/>
    <w:rsid w:val="006004A2"/>
    <w:rsid w:val="0061500C"/>
    <w:rsid w:val="00651361"/>
    <w:rsid w:val="0066040C"/>
    <w:rsid w:val="006661FA"/>
    <w:rsid w:val="00670166"/>
    <w:rsid w:val="006A61A1"/>
    <w:rsid w:val="006B1AD3"/>
    <w:rsid w:val="006C70E9"/>
    <w:rsid w:val="006D2038"/>
    <w:rsid w:val="006E1EE8"/>
    <w:rsid w:val="006E698C"/>
    <w:rsid w:val="0071428D"/>
    <w:rsid w:val="00725847"/>
    <w:rsid w:val="00734119"/>
    <w:rsid w:val="007359CF"/>
    <w:rsid w:val="00775008"/>
    <w:rsid w:val="00782DC5"/>
    <w:rsid w:val="007A25A3"/>
    <w:rsid w:val="007A4E37"/>
    <w:rsid w:val="007D18D1"/>
    <w:rsid w:val="007D60CE"/>
    <w:rsid w:val="007F366C"/>
    <w:rsid w:val="00817B10"/>
    <w:rsid w:val="008359E6"/>
    <w:rsid w:val="008362F8"/>
    <w:rsid w:val="008402AE"/>
    <w:rsid w:val="00843452"/>
    <w:rsid w:val="00855B81"/>
    <w:rsid w:val="00873708"/>
    <w:rsid w:val="00873BF5"/>
    <w:rsid w:val="00874A89"/>
    <w:rsid w:val="00880E58"/>
    <w:rsid w:val="0088643C"/>
    <w:rsid w:val="00887E15"/>
    <w:rsid w:val="008960DA"/>
    <w:rsid w:val="008A24B9"/>
    <w:rsid w:val="008C2750"/>
    <w:rsid w:val="008C2F21"/>
    <w:rsid w:val="008C35C3"/>
    <w:rsid w:val="008E4EB5"/>
    <w:rsid w:val="008E69A2"/>
    <w:rsid w:val="009059B5"/>
    <w:rsid w:val="00906FE4"/>
    <w:rsid w:val="009072F5"/>
    <w:rsid w:val="00911868"/>
    <w:rsid w:val="00912FF9"/>
    <w:rsid w:val="009225D8"/>
    <w:rsid w:val="00930351"/>
    <w:rsid w:val="009319EB"/>
    <w:rsid w:val="00937EA6"/>
    <w:rsid w:val="00946C45"/>
    <w:rsid w:val="00950F62"/>
    <w:rsid w:val="00964788"/>
    <w:rsid w:val="0098623C"/>
    <w:rsid w:val="00994643"/>
    <w:rsid w:val="009A6E61"/>
    <w:rsid w:val="009D18F9"/>
    <w:rsid w:val="00A05C7E"/>
    <w:rsid w:val="00A26AD2"/>
    <w:rsid w:val="00A30624"/>
    <w:rsid w:val="00A375C6"/>
    <w:rsid w:val="00A37667"/>
    <w:rsid w:val="00A530F3"/>
    <w:rsid w:val="00A60ACF"/>
    <w:rsid w:val="00A613E4"/>
    <w:rsid w:val="00A66777"/>
    <w:rsid w:val="00A7001D"/>
    <w:rsid w:val="00A72A12"/>
    <w:rsid w:val="00A81882"/>
    <w:rsid w:val="00A9533D"/>
    <w:rsid w:val="00A961FE"/>
    <w:rsid w:val="00AA3B07"/>
    <w:rsid w:val="00AA5543"/>
    <w:rsid w:val="00AC21BC"/>
    <w:rsid w:val="00AD1A72"/>
    <w:rsid w:val="00AD23CA"/>
    <w:rsid w:val="00B024C9"/>
    <w:rsid w:val="00B03901"/>
    <w:rsid w:val="00B21EBF"/>
    <w:rsid w:val="00B24635"/>
    <w:rsid w:val="00B4262C"/>
    <w:rsid w:val="00B67FBE"/>
    <w:rsid w:val="00BA0822"/>
    <w:rsid w:val="00C3473C"/>
    <w:rsid w:val="00C66E4D"/>
    <w:rsid w:val="00C91A28"/>
    <w:rsid w:val="00CA3F1A"/>
    <w:rsid w:val="00CA7688"/>
    <w:rsid w:val="00CB0B4A"/>
    <w:rsid w:val="00CC0ADF"/>
    <w:rsid w:val="00CC37F4"/>
    <w:rsid w:val="00CC7F2C"/>
    <w:rsid w:val="00CE1E2D"/>
    <w:rsid w:val="00CE7426"/>
    <w:rsid w:val="00D34933"/>
    <w:rsid w:val="00D4707C"/>
    <w:rsid w:val="00D53DAB"/>
    <w:rsid w:val="00D5527F"/>
    <w:rsid w:val="00D61DB7"/>
    <w:rsid w:val="00D724E4"/>
    <w:rsid w:val="00D90605"/>
    <w:rsid w:val="00DA7840"/>
    <w:rsid w:val="00DB6B79"/>
    <w:rsid w:val="00DC05F2"/>
    <w:rsid w:val="00DC5E94"/>
    <w:rsid w:val="00E2152B"/>
    <w:rsid w:val="00E218E3"/>
    <w:rsid w:val="00E40446"/>
    <w:rsid w:val="00E55CE4"/>
    <w:rsid w:val="00E7259C"/>
    <w:rsid w:val="00E76B7B"/>
    <w:rsid w:val="00E91A64"/>
    <w:rsid w:val="00EB09EE"/>
    <w:rsid w:val="00F10845"/>
    <w:rsid w:val="00F117D1"/>
    <w:rsid w:val="00F16B90"/>
    <w:rsid w:val="00F340AB"/>
    <w:rsid w:val="00F44294"/>
    <w:rsid w:val="00F533B5"/>
    <w:rsid w:val="00F6112D"/>
    <w:rsid w:val="00F875BA"/>
    <w:rsid w:val="00FB4611"/>
    <w:rsid w:val="00FC03B4"/>
    <w:rsid w:val="00FF19FC"/>
    <w:rsid w:val="00FF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DE7A6"/>
  <w15:chartTrackingRefBased/>
  <w15:docId w15:val="{F642475A-4197-4BEF-8B4B-0BCBD868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D49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D4911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4B43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43ED"/>
  </w:style>
  <w:style w:type="paragraph" w:styleId="Piedepgina">
    <w:name w:val="footer"/>
    <w:basedOn w:val="Normal"/>
    <w:link w:val="PiedepginaCar"/>
    <w:uiPriority w:val="99"/>
    <w:unhideWhenUsed/>
    <w:rsid w:val="004B43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43ED"/>
  </w:style>
  <w:style w:type="character" w:styleId="Hipervnculovisitado">
    <w:name w:val="FollowedHyperlink"/>
    <w:basedOn w:val="Fuentedeprrafopredeter"/>
    <w:uiPriority w:val="99"/>
    <w:semiHidden/>
    <w:unhideWhenUsed/>
    <w:rsid w:val="00EB09EE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734119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150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1500C"/>
    <w:rPr>
      <w:rFonts w:ascii="Courier New" w:eastAsia="Times New Roman" w:hAnsi="Courier New" w:cs="Courier New"/>
      <w:sz w:val="20"/>
      <w:szCs w:val="20"/>
      <w:lang w:eastAsia="es-ES_tradnl"/>
    </w:rPr>
  </w:style>
  <w:style w:type="character" w:customStyle="1" w:styleId="y2iqfc">
    <w:name w:val="y2iqfc"/>
    <w:basedOn w:val="Fuentedeprrafopredeter"/>
    <w:rsid w:val="00615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1854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06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36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30370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619595">
                              <w:marLeft w:val="0"/>
                              <w:marRight w:val="0"/>
                              <w:marTop w:val="15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84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417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7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24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47563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90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0606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84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6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53726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179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7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1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79829">
                              <w:marLeft w:val="0"/>
                              <w:marRight w:val="0"/>
                              <w:marTop w:val="15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23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513441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915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6757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0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68461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2951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5793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4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068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16328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14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0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6768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1739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2" ma:contentTypeDescription="Create a new document." ma:contentTypeScope="" ma:versionID="9f6e68ba0429983b86355dc0cf293ca4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5df581e3f237c2ad778663a37cf31e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927CD2-95F9-48D4-AEF0-5AF0AD4C4E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2277A8-7BE2-7848-A39E-BBE75784D0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2386D3-5AB1-4E97-916C-B26AB16328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2BDA93-7B02-49E1-BCB4-9B97C7702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2</Pages>
  <Words>520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Biber</dc:creator>
  <cp:keywords/>
  <dc:description/>
  <cp:lastModifiedBy>Julio Cesar Fernández</cp:lastModifiedBy>
  <cp:revision>39</cp:revision>
  <dcterms:created xsi:type="dcterms:W3CDTF">2021-04-12T15:55:00Z</dcterms:created>
  <dcterms:modified xsi:type="dcterms:W3CDTF">2021-04-14T11:08:00Z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