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5F2D8" w14:textId="77777777" w:rsidR="00CC6572" w:rsidRPr="00CC6572" w:rsidRDefault="00B44D74" w:rsidP="00F5789C">
      <w:pPr>
        <w:shd w:val="clear" w:color="auto" w:fill="FFFFFF"/>
        <w:spacing w:after="240" w:line="240" w:lineRule="auto"/>
        <w:jc w:val="center"/>
        <w:outlineLvl w:val="0"/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</w:pPr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>N</w:t>
      </w:r>
      <w:r w:rsidR="00C873D4"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 xml:space="preserve">ueva </w:t>
      </w:r>
      <w:r w:rsidR="006861E5"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>serie</w:t>
      </w:r>
      <w:r w:rsidR="00C873D4"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 xml:space="preserve"> de transmisores de vídeo</w:t>
      </w:r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 xml:space="preserve"> </w:t>
      </w:r>
    </w:p>
    <w:p w14:paraId="7536EDC0" w14:textId="06121520" w:rsidR="00B44D74" w:rsidRPr="00CC6572" w:rsidRDefault="00B44D74" w:rsidP="00F5789C">
      <w:pPr>
        <w:shd w:val="clear" w:color="auto" w:fill="FFFFFF"/>
        <w:spacing w:after="240" w:line="240" w:lineRule="auto"/>
        <w:jc w:val="center"/>
        <w:outlineLvl w:val="0"/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</w:pPr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 xml:space="preserve">de Hollyland </w:t>
      </w:r>
      <w:proofErr w:type="spellStart"/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>Tec</w:t>
      </w:r>
      <w:r w:rsid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>h</w:t>
      </w:r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>nology</w:t>
      </w:r>
      <w:proofErr w:type="spellEnd"/>
      <w:r w:rsidR="00C873D4" w:rsidRPr="00CC6572">
        <w:rPr>
          <w:rFonts w:ascii="Alata" w:eastAsia="Times New Roman" w:hAnsi="Alata" w:cs="Times New Roman"/>
          <w:b/>
          <w:bCs/>
          <w:color w:val="444444"/>
          <w:kern w:val="36"/>
          <w:sz w:val="36"/>
          <w:szCs w:val="32"/>
          <w14:ligatures w14:val="none"/>
        </w:rPr>
        <w:t xml:space="preserve">: </w:t>
      </w:r>
    </w:p>
    <w:p w14:paraId="20AB0233" w14:textId="683C87E9" w:rsidR="001E083B" w:rsidRPr="00CC6572" w:rsidRDefault="001718A6" w:rsidP="00F5789C">
      <w:pPr>
        <w:shd w:val="clear" w:color="auto" w:fill="FFFFFF"/>
        <w:spacing w:after="240" w:line="240" w:lineRule="auto"/>
        <w:jc w:val="center"/>
        <w:outlineLvl w:val="0"/>
        <w:rPr>
          <w:rFonts w:ascii="Alata" w:eastAsia="Times New Roman" w:hAnsi="Alata" w:cs="Times New Roman"/>
          <w:b/>
          <w:bCs/>
          <w:color w:val="444444"/>
          <w:kern w:val="36"/>
          <w:sz w:val="48"/>
          <w:szCs w:val="48"/>
          <w14:ligatures w14:val="none"/>
        </w:rPr>
      </w:pPr>
      <w:r w:rsidRPr="00CC6572">
        <w:rPr>
          <w:rFonts w:ascii="Alata" w:eastAsia="Times New Roman" w:hAnsi="Alata" w:cs="Times New Roman"/>
          <w:b/>
          <w:bCs/>
          <w:color w:val="444444"/>
          <w:kern w:val="36"/>
          <w:sz w:val="48"/>
          <w:szCs w:val="48"/>
          <w14:ligatures w14:val="none"/>
        </w:rPr>
        <w:t>Introduciendo</w:t>
      </w:r>
      <w:r w:rsidR="00C873D4" w:rsidRPr="00CC6572">
        <w:rPr>
          <w:rFonts w:ascii="Alata" w:eastAsia="Times New Roman" w:hAnsi="Alata" w:cs="Times New Roman"/>
          <w:b/>
          <w:bCs/>
          <w:color w:val="444444"/>
          <w:kern w:val="36"/>
          <w:sz w:val="48"/>
          <w:szCs w:val="48"/>
          <w14:ligatures w14:val="none"/>
        </w:rPr>
        <w:t xml:space="preserve"> la serie </w:t>
      </w:r>
      <w:proofErr w:type="spellStart"/>
      <w:r w:rsidR="00C873D4" w:rsidRPr="00CC6572">
        <w:rPr>
          <w:rFonts w:ascii="Alata" w:eastAsia="Times New Roman" w:hAnsi="Alata" w:cs="Times New Roman"/>
          <w:b/>
          <w:bCs/>
          <w:color w:val="444444"/>
          <w:kern w:val="36"/>
          <w:sz w:val="48"/>
          <w:szCs w:val="48"/>
          <w14:ligatures w14:val="none"/>
        </w:rPr>
        <w:t>Pyro</w:t>
      </w:r>
      <w:proofErr w:type="spellEnd"/>
    </w:p>
    <w:p w14:paraId="003FDD24" w14:textId="77777777" w:rsidR="000E4CF4" w:rsidRDefault="000E4CF4" w:rsidP="00EB128E">
      <w:pPr>
        <w:shd w:val="clear" w:color="auto" w:fill="FFFFFF"/>
        <w:spacing w:line="240" w:lineRule="auto"/>
        <w:jc w:val="center"/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</w:pPr>
      <w:r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>L</w:t>
      </w:r>
      <w:r w:rsidR="001718A6" w:rsidRPr="00CC6572"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 xml:space="preserve">a solución perfecta para la </w:t>
      </w:r>
      <w:r w:rsidR="00EB128E"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 xml:space="preserve">monitorización </w:t>
      </w:r>
    </w:p>
    <w:p w14:paraId="3FD990F4" w14:textId="4750C26E" w:rsidR="00F20590" w:rsidRPr="00EB128E" w:rsidRDefault="00EB128E" w:rsidP="00EB128E">
      <w:pPr>
        <w:shd w:val="clear" w:color="auto" w:fill="FFFFFF"/>
        <w:spacing w:line="240" w:lineRule="auto"/>
        <w:jc w:val="center"/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</w:pPr>
      <w:r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 xml:space="preserve">y </w:t>
      </w:r>
      <w:r w:rsidR="001718A6" w:rsidRPr="00CC6572"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 xml:space="preserve">transmisión inalámbrica de </w:t>
      </w:r>
      <w:r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 xml:space="preserve">vídeo a </w:t>
      </w:r>
      <w:r w:rsidR="00D6695B" w:rsidRPr="007672E3">
        <w:rPr>
          <w:rFonts w:ascii="Alata" w:eastAsia="Times New Roman" w:hAnsi="Alata" w:cs="Times New Roman"/>
          <w:i/>
          <w:iCs/>
          <w:kern w:val="0"/>
          <w:sz w:val="23"/>
          <w:szCs w:val="23"/>
          <w14:ligatures w14:val="none"/>
        </w:rPr>
        <w:t>varias personas</w:t>
      </w:r>
    </w:p>
    <w:p w14:paraId="018DA99F" w14:textId="77777777" w:rsidR="009A7FF3" w:rsidRPr="00CC6572" w:rsidRDefault="009A7FF3" w:rsidP="00051EA8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2FDC1261" w14:textId="673BF0B1" w:rsidR="002702E8" w:rsidRPr="00CC6572" w:rsidRDefault="00051EA8" w:rsidP="00051EA8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Hollyland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Technology</w:t>
      </w:r>
      <w:proofErr w:type="spellEnd"/>
      <w:r w:rsidR="00B2530F" w:rsidRPr="00CC6572">
        <w:rPr>
          <w:rFonts w:ascii="Calibri" w:eastAsia="Times New Roman" w:hAnsi="Calibri" w:cs="Calibri"/>
          <w:kern w:val="0"/>
          <w14:ligatures w14:val="none"/>
        </w:rPr>
        <w:t xml:space="preserve">, </w:t>
      </w:r>
      <w:r w:rsidR="00226E2A" w:rsidRPr="00CC6572">
        <w:rPr>
          <w:rFonts w:ascii="Calibri" w:eastAsia="Times New Roman" w:hAnsi="Calibri" w:cs="Calibri"/>
          <w:kern w:val="0"/>
          <w14:ligatures w14:val="none"/>
        </w:rPr>
        <w:t xml:space="preserve">empresa especializada en </w:t>
      </w:r>
      <w:r w:rsidR="00B2530F" w:rsidRPr="00CC6572">
        <w:rPr>
          <w:rFonts w:ascii="Calibri" w:eastAsia="Times New Roman" w:hAnsi="Calibri" w:cs="Calibri"/>
          <w:kern w:val="0"/>
          <w14:ligatures w14:val="none"/>
        </w:rPr>
        <w:t>soluciones profesionales para la transmisión inalámbrica de datos, audio y vídeo, y la intercomunicación inalámbrica</w:t>
      </w:r>
      <w:r w:rsidR="00226E2A" w:rsidRPr="00CC6572">
        <w:rPr>
          <w:rFonts w:ascii="Calibri" w:eastAsia="Times New Roman" w:hAnsi="Calibri" w:cs="Calibri"/>
          <w:kern w:val="0"/>
          <w14:ligatures w14:val="none"/>
        </w:rPr>
        <w:t>,</w:t>
      </w:r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="002702E8" w:rsidRPr="00CC6572">
        <w:rPr>
          <w:rFonts w:ascii="Calibri" w:eastAsia="Times New Roman" w:hAnsi="Calibri" w:cs="Calibri"/>
          <w:kern w:val="0"/>
          <w14:ligatures w14:val="none"/>
        </w:rPr>
        <w:t xml:space="preserve">se complace en anunciar la llegada de la serie </w:t>
      </w:r>
      <w:proofErr w:type="spellStart"/>
      <w:r w:rsidR="002702E8"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="002702E8" w:rsidRPr="00CC6572">
        <w:rPr>
          <w:rFonts w:ascii="Calibri" w:eastAsia="Times New Roman" w:hAnsi="Calibri" w:cs="Calibri"/>
          <w:kern w:val="0"/>
          <w14:ligatures w14:val="none"/>
        </w:rPr>
        <w:t xml:space="preserve">, la última incorporación al catálogo de sistemas inalámbricos de transmisión de vídeo. El 24 de abril, Hollyland lanza el primer producto de esta serie, el </w:t>
      </w:r>
      <w:proofErr w:type="spellStart"/>
      <w:r w:rsidR="002702E8"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="002702E8" w:rsidRPr="00CC6572">
        <w:rPr>
          <w:rFonts w:ascii="Calibri" w:eastAsia="Times New Roman" w:hAnsi="Calibri" w:cs="Calibri"/>
          <w:kern w:val="0"/>
          <w14:ligatures w14:val="none"/>
        </w:rPr>
        <w:t xml:space="preserve"> H.</w:t>
      </w:r>
    </w:p>
    <w:p w14:paraId="25400894" w14:textId="77777777" w:rsidR="00852691" w:rsidRPr="00CC6572" w:rsidRDefault="00852691" w:rsidP="00051EA8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22DFEF7B" w14:textId="13AE47E3" w:rsidR="00852691" w:rsidRPr="00CC6572" w:rsidRDefault="00852691" w:rsidP="00051EA8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ofrece una mayor estabilidad de monitorización y colaboración en el plató. Es perfecta para diversas aplicaciones, como producción cinematográfica, rodaje de anuncios, rodaje de eventos en directo, aplicaciones ENG/EFP, etc.</w:t>
      </w:r>
      <w:r w:rsidR="000233FB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7D7BA472" w14:textId="77777777" w:rsidR="002702E8" w:rsidRPr="00CC6572" w:rsidRDefault="002702E8" w:rsidP="00051EA8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1927AC57" w14:textId="5ACB3C9A" w:rsidR="00AC1EF3" w:rsidRPr="00101185" w:rsidRDefault="00AC1EF3" w:rsidP="00101185">
      <w:pPr>
        <w:spacing w:before="240" w:after="120" w:line="235" w:lineRule="atLeas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CC6572">
        <w:rPr>
          <w:rFonts w:ascii="Calibri" w:eastAsia="Times New Roman" w:hAnsi="Calibri" w:cs="Calibri"/>
          <w:b/>
          <w:bCs/>
          <w:kern w:val="0"/>
          <w14:ligatures w14:val="none"/>
        </w:rPr>
        <w:t>Equipado con más funciones y capacidades que nunca</w:t>
      </w:r>
    </w:p>
    <w:p w14:paraId="220B569B" w14:textId="404ED615" w:rsidR="00AC1EF3" w:rsidRPr="00CC6572" w:rsidRDefault="00AC1EF3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Con tecnología de doble banda de 2,4 GHz y 5 GHz de desarrollo propio,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</w:t>
      </w:r>
      <w:r w:rsidR="00CC6572">
        <w:rPr>
          <w:rFonts w:ascii="Calibri" w:eastAsia="Times New Roman" w:hAnsi="Calibri" w:cs="Calibri"/>
          <w:kern w:val="0"/>
          <w14:ligatures w14:val="none"/>
        </w:rPr>
        <w:t>rind</w:t>
      </w:r>
      <w:r w:rsidRPr="00CC6572">
        <w:rPr>
          <w:rFonts w:ascii="Calibri" w:eastAsia="Times New Roman" w:hAnsi="Calibri" w:cs="Calibri"/>
          <w:kern w:val="0"/>
          <w14:ligatures w14:val="none"/>
        </w:rPr>
        <w:t>e</w:t>
      </w:r>
      <w:r w:rsidR="00CC6572">
        <w:rPr>
          <w:rFonts w:ascii="Calibri" w:eastAsia="Times New Roman" w:hAnsi="Calibri" w:cs="Calibri"/>
          <w:kern w:val="0"/>
          <w14:ligatures w14:val="none"/>
        </w:rPr>
        <w:t xml:space="preserve"> con</w:t>
      </w:r>
      <w:r w:rsidRPr="00CC6572">
        <w:rPr>
          <w:rFonts w:ascii="Calibri" w:eastAsia="Times New Roman" w:hAnsi="Calibri" w:cs="Calibri"/>
          <w:kern w:val="0"/>
          <w14:ligatures w14:val="none"/>
        </w:rPr>
        <w:t xml:space="preserve"> un alcance de transmisión estable de hasta 400 m. Consigue una latencia de transmisión mínima de 60 ms gracias a los chips actualizados y a los algoritmos optimizados de codificación y descodificación de vídeo.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ofrece más flexibilidad cuando surgen necesidades</w:t>
      </w:r>
      <w:r w:rsidR="006C1EE2"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  <w:r w:rsidRPr="00CC6572">
        <w:rPr>
          <w:rFonts w:ascii="Calibri" w:eastAsia="Times New Roman" w:hAnsi="Calibri" w:cs="Calibri"/>
          <w:kern w:val="0"/>
          <w14:ligatures w14:val="none"/>
        </w:rPr>
        <w:t xml:space="preserve">adicionales de monitorización en el plató. </w:t>
      </w:r>
    </w:p>
    <w:p w14:paraId="28063959" w14:textId="77777777" w:rsidR="00AC1EF3" w:rsidRPr="00CC6572" w:rsidRDefault="00AC1EF3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11D2D849" w14:textId="77777777" w:rsidR="00AC1EF3" w:rsidRPr="00CC6572" w:rsidRDefault="00AC1EF3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Un transmisor de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puede conectarse con cuatro receptores con señales estables. Los miembros del equipo que se encuentren en distintas ubicaciones recibirán y monitorizarán la vista del rodaje en tiempo real estén donde estén. Puede seleccionar el Modo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Smooth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o el Modo HD en función de sus necesidades específicas. El Modo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Smooth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es ideal para mantener la estabilidad en largas distancias, mientras que el Modo HD prioriza la calidad de imagen de alta definición.</w:t>
      </w:r>
    </w:p>
    <w:p w14:paraId="60C030E6" w14:textId="77777777" w:rsidR="00AC1EF3" w:rsidRPr="00CC6572" w:rsidRDefault="00AC1EF3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702EFFBB" w14:textId="4820D33A" w:rsidR="00312EEA" w:rsidRPr="00CC6572" w:rsidRDefault="00AC1EF3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El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proporciona una mayor estabilidad de transmisión inalámbrica, así como una experiencia más fácil de usar. Cuando se enciende, elige automáticamente un canal de frecuencia de alta calidad, y los usuarios pueden activar la función de búsqueda inteligente de canales para recibir información en tiempo real sobre el estado de la frecuencia.</w:t>
      </w:r>
    </w:p>
    <w:p w14:paraId="78035689" w14:textId="77777777" w:rsidR="003B4E57" w:rsidRPr="00CC6572" w:rsidRDefault="003B4E57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4BF3EE4A" w14:textId="77777777" w:rsidR="003B4E57" w:rsidRDefault="003B4E57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46504973" w14:textId="77777777" w:rsidR="004F7750" w:rsidRDefault="004F7750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00FDB2A6" w14:textId="77777777" w:rsidR="00B5565B" w:rsidRDefault="00B5565B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0F620740" w14:textId="77777777" w:rsidR="00D6695B" w:rsidRPr="00CC6572" w:rsidRDefault="00D6695B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7473FED7" w14:textId="008F1D22" w:rsidR="009F2220" w:rsidRPr="00101185" w:rsidRDefault="009F2220" w:rsidP="00101185">
      <w:pPr>
        <w:spacing w:before="240" w:after="120" w:line="235" w:lineRule="atLeas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CC6572">
        <w:rPr>
          <w:rFonts w:ascii="Calibri" w:eastAsia="Times New Roman" w:hAnsi="Calibri" w:cs="Calibri"/>
          <w:b/>
          <w:bCs/>
          <w:kern w:val="0"/>
          <w14:ligatures w14:val="none"/>
        </w:rPr>
        <w:t>Comodidad sin igual y experiencia de usuario mejorada</w:t>
      </w:r>
    </w:p>
    <w:p w14:paraId="210468CF" w14:textId="52C09084" w:rsidR="009F2220" w:rsidRPr="00CC6572" w:rsidRDefault="009F2220" w:rsidP="009F222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no sólo está diseñado para ofrecer un buen rendimiento, sino también para facilitar su uso. El transmisor cuenta con una entrada HDMI y un puerto de salida en bucle que le permiten enviar señales a varios receptores simultáneamente, además de facilitar la monitorización en tiempo real en el plató. </w:t>
      </w:r>
      <w:r w:rsidR="0023066C" w:rsidRPr="00CC6572">
        <w:rPr>
          <w:rFonts w:ascii="Calibri" w:eastAsia="Times New Roman" w:hAnsi="Calibri" w:cs="Calibri"/>
          <w:kern w:val="0"/>
          <w14:ligatures w14:val="none"/>
        </w:rPr>
        <w:t>T</w:t>
      </w:r>
      <w:r w:rsidRPr="00CC6572">
        <w:rPr>
          <w:rFonts w:ascii="Calibri" w:eastAsia="Times New Roman" w:hAnsi="Calibri" w:cs="Calibri"/>
          <w:kern w:val="0"/>
          <w14:ligatures w14:val="none"/>
        </w:rPr>
        <w:t xml:space="preserve">ambién ofrece varias opciones de alimentación, como una fuente de alimentación USB-C, alimentación de CC estándar o una batería NP-F. </w:t>
      </w:r>
    </w:p>
    <w:p w14:paraId="413581E0" w14:textId="77777777" w:rsidR="009F2220" w:rsidRPr="00CC6572" w:rsidRDefault="009F2220" w:rsidP="009F222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3CC43C73" w14:textId="18200E17" w:rsidR="009F2220" w:rsidRPr="00CC6572" w:rsidRDefault="0023066C" w:rsidP="009F222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Las funciones avanzadas de </w:t>
      </w:r>
      <w:r w:rsidR="00D31E3D" w:rsidRPr="00CC6572">
        <w:rPr>
          <w:rFonts w:ascii="Calibri" w:eastAsia="Times New Roman" w:hAnsi="Calibri" w:cs="Calibri"/>
          <w:kern w:val="0"/>
          <w14:ligatures w14:val="none"/>
        </w:rPr>
        <w:t xml:space="preserve">agrupación y emparejamiento preestablecidas en el </w:t>
      </w:r>
      <w:proofErr w:type="spellStart"/>
      <w:r w:rsidR="009F2220"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="009F2220" w:rsidRPr="00CC6572">
        <w:rPr>
          <w:rFonts w:ascii="Calibri" w:eastAsia="Times New Roman" w:hAnsi="Calibri" w:cs="Calibri"/>
          <w:kern w:val="0"/>
          <w14:ligatures w14:val="none"/>
        </w:rPr>
        <w:t xml:space="preserve"> H </w:t>
      </w:r>
      <w:r w:rsidR="00D31E3D" w:rsidRPr="00CC6572">
        <w:rPr>
          <w:rFonts w:ascii="Calibri" w:eastAsia="Times New Roman" w:hAnsi="Calibri" w:cs="Calibri"/>
          <w:kern w:val="0"/>
          <w14:ligatures w14:val="none"/>
        </w:rPr>
        <w:t xml:space="preserve">ayudan </w:t>
      </w:r>
      <w:r w:rsidR="009F2220" w:rsidRPr="00CC6572">
        <w:rPr>
          <w:rFonts w:ascii="Calibri" w:eastAsia="Times New Roman" w:hAnsi="Calibri" w:cs="Calibri"/>
          <w:kern w:val="0"/>
          <w14:ligatures w14:val="none"/>
        </w:rPr>
        <w:t>a los usuarios a configurar</w:t>
      </w:r>
      <w:r w:rsidR="00FA1576" w:rsidRPr="00CC6572">
        <w:rPr>
          <w:rFonts w:ascii="Calibri" w:eastAsia="Times New Roman" w:hAnsi="Calibri" w:cs="Calibri"/>
          <w:kern w:val="0"/>
          <w14:ligatures w14:val="none"/>
        </w:rPr>
        <w:t xml:space="preserve"> el transmisor </w:t>
      </w:r>
      <w:r w:rsidR="009F2220" w:rsidRPr="00CC6572">
        <w:rPr>
          <w:rFonts w:ascii="Calibri" w:eastAsia="Times New Roman" w:hAnsi="Calibri" w:cs="Calibri"/>
          <w:kern w:val="0"/>
          <w14:ligatures w14:val="none"/>
        </w:rPr>
        <w:t>de forma fácil y rápida. Esto ahorra un tiempo valioso en el plató</w:t>
      </w:r>
      <w:r w:rsidR="00FA1576" w:rsidRPr="00CC6572">
        <w:rPr>
          <w:rFonts w:ascii="Calibri" w:eastAsia="Times New Roman" w:hAnsi="Calibri" w:cs="Calibri"/>
          <w:kern w:val="0"/>
          <w14:ligatures w14:val="none"/>
        </w:rPr>
        <w:t>,</w:t>
      </w:r>
      <w:r w:rsidR="009F2220" w:rsidRPr="00CC6572">
        <w:rPr>
          <w:rFonts w:ascii="Calibri" w:eastAsia="Times New Roman" w:hAnsi="Calibri" w:cs="Calibri"/>
          <w:kern w:val="0"/>
          <w14:ligatures w14:val="none"/>
        </w:rPr>
        <w:t xml:space="preserve"> al eliminar la necesidad de </w:t>
      </w:r>
      <w:r w:rsidR="00B6537A" w:rsidRPr="00CC6572">
        <w:rPr>
          <w:rFonts w:ascii="Calibri" w:eastAsia="Times New Roman" w:hAnsi="Calibri" w:cs="Calibri"/>
          <w:kern w:val="0"/>
          <w14:ligatures w14:val="none"/>
        </w:rPr>
        <w:t xml:space="preserve">estar </w:t>
      </w:r>
      <w:r w:rsidR="009F2220" w:rsidRPr="00CC6572">
        <w:rPr>
          <w:rFonts w:ascii="Calibri" w:eastAsia="Times New Roman" w:hAnsi="Calibri" w:cs="Calibri"/>
          <w:kern w:val="0"/>
          <w14:ligatures w14:val="none"/>
        </w:rPr>
        <w:t>configura</w:t>
      </w:r>
      <w:r w:rsidR="00B6537A" w:rsidRPr="00CC6572">
        <w:rPr>
          <w:rFonts w:ascii="Calibri" w:eastAsia="Times New Roman" w:hAnsi="Calibri" w:cs="Calibri"/>
          <w:kern w:val="0"/>
          <w14:ligatures w14:val="none"/>
        </w:rPr>
        <w:t>ndo</w:t>
      </w:r>
      <w:r w:rsidR="009F2220" w:rsidRPr="00CC6572">
        <w:rPr>
          <w:rFonts w:ascii="Calibri" w:eastAsia="Times New Roman" w:hAnsi="Calibri" w:cs="Calibri"/>
          <w:kern w:val="0"/>
          <w14:ligatures w14:val="none"/>
        </w:rPr>
        <w:t xml:space="preserve"> manualmente los transmisores y receptores.</w:t>
      </w:r>
    </w:p>
    <w:p w14:paraId="4F4FEBF5" w14:textId="77777777" w:rsidR="009F2220" w:rsidRPr="00CC6572" w:rsidRDefault="009F2220" w:rsidP="009F222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</w:p>
    <w:p w14:paraId="1A37AD11" w14:textId="481BEA39" w:rsidR="003B4E57" w:rsidRPr="00CC6572" w:rsidRDefault="009F2220" w:rsidP="009F222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>Además, la función de streaming UVC hace que se conecte directamente con ordenadores y otros dispositivos sin necesidad de tarjetas de captura ni complicadas instalaciones de software. Esta capacidad "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plug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>-and-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play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>" es especialmente beneficiosa para los usuarios que participan en transmisiones en directo o videoconferencias y necesitan opciones de configuración rápidas y fiables.</w:t>
      </w:r>
    </w:p>
    <w:p w14:paraId="78AA171E" w14:textId="77777777" w:rsidR="003B4E57" w:rsidRPr="00CC6572" w:rsidRDefault="003B4E57" w:rsidP="00AC1EF3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6C1B7435" w14:textId="2449DEFB" w:rsidR="00A95E36" w:rsidRPr="00101185" w:rsidRDefault="00A95E36" w:rsidP="00101185">
      <w:pPr>
        <w:spacing w:before="240" w:after="120" w:line="235" w:lineRule="atLeas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CC6572">
        <w:rPr>
          <w:rFonts w:ascii="Calibri" w:eastAsia="Times New Roman" w:hAnsi="Calibri" w:cs="Calibri"/>
          <w:b/>
          <w:bCs/>
          <w:kern w:val="0"/>
          <w14:ligatures w14:val="none"/>
        </w:rPr>
        <w:t>Calidad superior de transmisión de vídeo</w:t>
      </w:r>
    </w:p>
    <w:p w14:paraId="7445FF33" w14:textId="3A67D880" w:rsidR="00A95E36" w:rsidRPr="00CC6572" w:rsidRDefault="00A95E36" w:rsidP="00A95E36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tiene la capacidad de transmitir de forma inalámbrica vídeo de alta resolución en varios formatos, incluyendo 4K a 25, 24 y 30 fotogramas por segundo, así como Full HD 1080p a 50, 59,94 y 60 fotogramas por segundo. Con su capacidad para manejar 4K,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 proporciona imágenes con una claridad, detalle y realismo excepcionales. </w:t>
      </w:r>
    </w:p>
    <w:p w14:paraId="3C5C41BC" w14:textId="77777777" w:rsidR="00A95E36" w:rsidRPr="00CC6572" w:rsidRDefault="00A95E36" w:rsidP="00A95E36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572E5919" w14:textId="67A8F481" w:rsidR="00F20590" w:rsidRPr="00101185" w:rsidRDefault="00A95E36" w:rsidP="00101185">
      <w:pPr>
        <w:spacing w:before="240" w:after="120" w:line="235" w:lineRule="atLeas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CC6572">
        <w:rPr>
          <w:rFonts w:ascii="Calibri" w:eastAsia="Times New Roman" w:hAnsi="Calibri" w:cs="Calibri"/>
          <w:b/>
          <w:bCs/>
          <w:kern w:val="0"/>
          <w14:ligatures w14:val="none"/>
        </w:rPr>
        <w:t xml:space="preserve">Disponibilidad y precios </w:t>
      </w:r>
    </w:p>
    <w:p w14:paraId="6ACC05B3" w14:textId="16F8351A" w:rsidR="004F42F5" w:rsidRPr="00CC6572" w:rsidRDefault="00E35B0B" w:rsidP="004F42F5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H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 xml:space="preserve"> de Hollyland ya est</w:t>
      </w:r>
      <w:r w:rsidR="001A39A8" w:rsidRPr="00CC6572">
        <w:rPr>
          <w:rFonts w:ascii="Calibri" w:eastAsia="Times New Roman" w:hAnsi="Calibri" w:cs="Calibri"/>
          <w:kern w:val="0"/>
          <w14:ligatures w14:val="none"/>
        </w:rPr>
        <w:t>á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 xml:space="preserve"> disponible en España a través de Robisa</w:t>
      </w:r>
      <w:r w:rsidR="00496BFE" w:rsidRPr="00CC6572">
        <w:rPr>
          <w:rFonts w:ascii="Calibri" w:eastAsia="Times New Roman" w:hAnsi="Calibri" w:cs="Calibri"/>
          <w:kern w:val="0"/>
          <w14:ligatures w14:val="none"/>
        </w:rPr>
        <w:t xml:space="preserve"> con los siguientes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 xml:space="preserve"> P</w:t>
      </w:r>
      <w:r w:rsidR="00CF11B2" w:rsidRPr="00CC6572">
        <w:rPr>
          <w:rFonts w:ascii="Calibri" w:eastAsia="Times New Roman" w:hAnsi="Calibri" w:cs="Calibri"/>
          <w:kern w:val="0"/>
          <w14:ligatures w14:val="none"/>
        </w:rPr>
        <w:t>.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>V</w:t>
      </w:r>
      <w:r w:rsidR="00CF11B2" w:rsidRPr="00CC6572">
        <w:rPr>
          <w:rFonts w:ascii="Calibri" w:eastAsia="Times New Roman" w:hAnsi="Calibri" w:cs="Calibri"/>
          <w:kern w:val="0"/>
          <w14:ligatures w14:val="none"/>
        </w:rPr>
        <w:t>.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>P</w:t>
      </w:r>
      <w:r w:rsidR="00CF11B2" w:rsidRPr="00CC6572">
        <w:rPr>
          <w:rFonts w:ascii="Calibri" w:eastAsia="Times New Roman" w:hAnsi="Calibri" w:cs="Calibri"/>
          <w:kern w:val="0"/>
          <w14:ligatures w14:val="none"/>
        </w:rPr>
        <w:t>.R</w:t>
      </w:r>
      <w:r w:rsidR="004F42F5" w:rsidRPr="00CC6572">
        <w:rPr>
          <w:rFonts w:ascii="Calibri" w:eastAsia="Times New Roman" w:hAnsi="Calibri" w:cs="Calibri"/>
          <w:kern w:val="0"/>
          <w14:ligatures w14:val="none"/>
        </w:rPr>
        <w:t>:</w:t>
      </w:r>
    </w:p>
    <w:p w14:paraId="26C8B559" w14:textId="77777777" w:rsidR="00496BFE" w:rsidRPr="00CC6572" w:rsidRDefault="00496BFE" w:rsidP="004F42F5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</w:p>
    <w:p w14:paraId="30039E3D" w14:textId="374883C1" w:rsidR="004F42F5" w:rsidRPr="00E63AE3" w:rsidRDefault="004F42F5" w:rsidP="00D23FCB">
      <w:pPr>
        <w:pStyle w:val="Prrafodelista"/>
        <w:numPr>
          <w:ilvl w:val="0"/>
          <w:numId w:val="3"/>
        </w:numPr>
        <w:spacing w:after="0" w:line="235" w:lineRule="atLeast"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E63AE3">
        <w:rPr>
          <w:rFonts w:ascii="Calibri" w:eastAsia="Times New Roman" w:hAnsi="Calibri" w:cs="Calibri"/>
          <w:kern w:val="0"/>
          <w:lang w:val="en-US"/>
          <w14:ligatures w14:val="none"/>
        </w:rPr>
        <w:t xml:space="preserve">Hollyland </w:t>
      </w:r>
      <w:r w:rsidR="00E35B0B" w:rsidRPr="00E63AE3">
        <w:rPr>
          <w:rFonts w:ascii="Calibri" w:eastAsia="Times New Roman" w:hAnsi="Calibri" w:cs="Calibri"/>
          <w:kern w:val="0"/>
          <w:lang w:val="en-US"/>
          <w14:ligatures w14:val="none"/>
        </w:rPr>
        <w:t xml:space="preserve">Pyro </w:t>
      </w:r>
      <w:proofErr w:type="gramStart"/>
      <w:r w:rsidR="00E35B0B" w:rsidRPr="00E63AE3">
        <w:rPr>
          <w:rFonts w:ascii="Calibri" w:eastAsia="Times New Roman" w:hAnsi="Calibri" w:cs="Calibri"/>
          <w:kern w:val="0"/>
          <w:lang w:val="en-US"/>
          <w14:ligatures w14:val="none"/>
        </w:rPr>
        <w:t>H</w:t>
      </w:r>
      <w:r w:rsidR="008C0300" w:rsidRPr="00E63AE3">
        <w:rPr>
          <w:rFonts w:ascii="Calibri" w:eastAsia="Times New Roman" w:hAnsi="Calibri" w:cs="Calibri"/>
          <w:kern w:val="0"/>
          <w:lang w:val="en-US"/>
          <w14:ligatures w14:val="none"/>
        </w:rPr>
        <w:t xml:space="preserve">  </w:t>
      </w:r>
      <w:r w:rsidR="00D23FCB" w:rsidRPr="00E63AE3">
        <w:rPr>
          <w:rFonts w:ascii="Calibri" w:eastAsia="Times New Roman" w:hAnsi="Calibri" w:cs="Calibri"/>
          <w:kern w:val="0"/>
          <w:lang w:val="en-US"/>
          <w14:ligatures w14:val="none"/>
        </w:rPr>
        <w:t>(</w:t>
      </w:r>
      <w:proofErr w:type="gramEnd"/>
      <w:r w:rsidR="008C0300" w:rsidRPr="00E63AE3">
        <w:rPr>
          <w:rFonts w:ascii="Calibri" w:eastAsia="Times New Roman" w:hAnsi="Calibri" w:cs="Calibri"/>
          <w:kern w:val="0"/>
          <w:lang w:val="en-US"/>
          <w14:ligatures w14:val="none"/>
        </w:rPr>
        <w:t>TX+RX</w:t>
      </w:r>
      <w:r w:rsidR="00D23FCB" w:rsidRPr="00E63AE3">
        <w:rPr>
          <w:rFonts w:ascii="Calibri" w:eastAsia="Times New Roman" w:hAnsi="Calibri" w:cs="Calibri"/>
          <w:kern w:val="0"/>
          <w:lang w:val="en-US"/>
          <w14:ligatures w14:val="none"/>
        </w:rPr>
        <w:t>)</w:t>
      </w:r>
      <w:r w:rsidRPr="00E63AE3">
        <w:rPr>
          <w:rFonts w:ascii="Calibri" w:eastAsia="Times New Roman" w:hAnsi="Calibri" w:cs="Calibri"/>
          <w:kern w:val="0"/>
          <w:lang w:val="en-US"/>
          <w14:ligatures w14:val="none"/>
        </w:rPr>
        <w:t xml:space="preserve">: </w:t>
      </w:r>
      <w:r w:rsidR="008C0300" w:rsidRPr="00E63AE3">
        <w:rPr>
          <w:rStyle w:val="ui-provider"/>
          <w:lang w:val="en-US"/>
        </w:rPr>
        <w:t>519,10</w:t>
      </w:r>
      <w:r w:rsidRPr="00E63AE3">
        <w:rPr>
          <w:rFonts w:ascii="Calibri" w:eastAsia="Times New Roman" w:hAnsi="Calibri" w:cs="Calibri"/>
          <w:kern w:val="0"/>
          <w:lang w:val="en-US"/>
          <w14:ligatures w14:val="none"/>
        </w:rPr>
        <w:t xml:space="preserve"> €</w:t>
      </w:r>
    </w:p>
    <w:p w14:paraId="77CF2922" w14:textId="32291E47" w:rsidR="00D23FCB" w:rsidRPr="00D6695B" w:rsidRDefault="00D23FCB" w:rsidP="004F42F5">
      <w:pPr>
        <w:pStyle w:val="Prrafodelista"/>
        <w:numPr>
          <w:ilvl w:val="0"/>
          <w:numId w:val="3"/>
        </w:num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kern w:val="0"/>
          <w14:ligatures w14:val="none"/>
        </w:rPr>
        <w:t xml:space="preserve">Hollyland </w:t>
      </w:r>
      <w:proofErr w:type="spellStart"/>
      <w:r w:rsidRPr="00CC6572">
        <w:rPr>
          <w:rFonts w:ascii="Calibri" w:eastAsia="Times New Roman" w:hAnsi="Calibri" w:cs="Calibri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kern w:val="0"/>
          <w14:ligatures w14:val="none"/>
        </w:rPr>
        <w:t xml:space="preserve"> </w:t>
      </w:r>
      <w:proofErr w:type="gramStart"/>
      <w:r w:rsidRPr="00CC6572">
        <w:rPr>
          <w:rFonts w:ascii="Calibri" w:eastAsia="Times New Roman" w:hAnsi="Calibri" w:cs="Calibri"/>
          <w:kern w:val="0"/>
          <w14:ligatures w14:val="none"/>
        </w:rPr>
        <w:t>H  (</w:t>
      </w:r>
      <w:proofErr w:type="gramEnd"/>
      <w:r w:rsidRPr="00CC6572">
        <w:rPr>
          <w:rFonts w:ascii="Calibri" w:eastAsia="Times New Roman" w:hAnsi="Calibri" w:cs="Calibri"/>
          <w:kern w:val="0"/>
          <w14:ligatures w14:val="none"/>
        </w:rPr>
        <w:t>RX): 265,00 €</w:t>
      </w:r>
    </w:p>
    <w:p w14:paraId="44C09DC3" w14:textId="77777777" w:rsidR="00F20590" w:rsidRPr="00CC6572" w:rsidRDefault="00F20590" w:rsidP="00F2059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i/>
          <w:iCs/>
          <w:kern w:val="0"/>
          <w:bdr w:val="none" w:sz="0" w:space="0" w:color="auto" w:frame="1"/>
          <w14:ligatures w14:val="none"/>
        </w:rPr>
        <w:t> </w:t>
      </w:r>
    </w:p>
    <w:p w14:paraId="4DE0C388" w14:textId="4054041D" w:rsidR="00F20590" w:rsidRPr="00CC6572" w:rsidRDefault="00FA2573" w:rsidP="00101185">
      <w:pPr>
        <w:spacing w:before="240" w:after="12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CC6572">
        <w:rPr>
          <w:rFonts w:ascii="Calibri" w:eastAsia="Times New Roman" w:hAnsi="Calibri" w:cs="Calibri"/>
          <w:b/>
          <w:bCs/>
          <w:kern w:val="0"/>
          <w:bdr w:val="none" w:sz="0" w:space="0" w:color="auto" w:frame="1"/>
          <w14:ligatures w14:val="none"/>
        </w:rPr>
        <w:t>Especificaciones clave</w:t>
      </w:r>
    </w:p>
    <w:p w14:paraId="087E6194" w14:textId="7330E555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Lanzamiento Hollyland </w:t>
      </w:r>
      <w:proofErr w:type="spellStart"/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Pyro</w:t>
      </w:r>
      <w:proofErr w:type="spellEnd"/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 H</w:t>
      </w:r>
    </w:p>
    <w:p w14:paraId="73721C4A" w14:textId="53ECFF50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1 </w:t>
      </w:r>
      <w:proofErr w:type="gramStart"/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Transmisor</w:t>
      </w:r>
      <w:proofErr w:type="gramEnd"/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 para 4 Receptores</w:t>
      </w:r>
    </w:p>
    <w:p w14:paraId="7BB4458E" w14:textId="44A33E4F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Transmisión de vídeo de 400m </w:t>
      </w:r>
    </w:p>
    <w:p w14:paraId="4DDD5065" w14:textId="740B87E3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0.06s Baja Latencia</w:t>
      </w:r>
    </w:p>
    <w:p w14:paraId="3E621D9D" w14:textId="4F4B7C47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2,4 GHz y 5 GHz de doble banda</w:t>
      </w:r>
    </w:p>
    <w:p w14:paraId="5516F197" w14:textId="70F1D32D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 xml:space="preserve">HDMI </w:t>
      </w:r>
      <w:proofErr w:type="spellStart"/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Loopout</w:t>
      </w:r>
      <w:proofErr w:type="spellEnd"/>
    </w:p>
    <w:p w14:paraId="6C3F1AB9" w14:textId="7FAC8C0F" w:rsidR="00F648FE" w:rsidRPr="00CC6572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Capacidad de transmisión inalámbrica 4K30</w:t>
      </w:r>
    </w:p>
    <w:p w14:paraId="404B19FF" w14:textId="45D4AA63" w:rsidR="00F648FE" w:rsidRDefault="00F648FE" w:rsidP="00F648FE">
      <w:pPr>
        <w:pStyle w:val="Prrafodelista"/>
        <w:numPr>
          <w:ilvl w:val="0"/>
          <w:numId w:val="2"/>
        </w:num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  <w:r w:rsidRPr="00CC6572">
        <w:rPr>
          <w:rFonts w:ascii="Calibri" w:eastAsia="Times New Roman" w:hAnsi="Calibri" w:cs="Calibri"/>
          <w:color w:val="626262"/>
          <w:kern w:val="0"/>
          <w14:ligatures w14:val="none"/>
        </w:rPr>
        <w:t>Streaming UVC</w:t>
      </w:r>
    </w:p>
    <w:p w14:paraId="367B37D8" w14:textId="77777777" w:rsidR="00235785" w:rsidRDefault="00235785" w:rsidP="00235785">
      <w:p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</w:p>
    <w:p w14:paraId="5EC6F365" w14:textId="77777777" w:rsidR="00722DD0" w:rsidRPr="00101185" w:rsidRDefault="00722DD0" w:rsidP="00101185">
      <w:pPr>
        <w:spacing w:before="240" w:after="120" w:line="235" w:lineRule="atLeast"/>
        <w:rPr>
          <w:rFonts w:ascii="Calibri" w:eastAsia="Times New Roman" w:hAnsi="Calibri" w:cs="Calibri"/>
          <w:b/>
          <w:bCs/>
          <w:kern w:val="0"/>
          <w14:ligatures w14:val="none"/>
        </w:rPr>
      </w:pPr>
      <w:r w:rsidRPr="00101185">
        <w:rPr>
          <w:rFonts w:ascii="Calibri" w:eastAsia="Times New Roman" w:hAnsi="Calibri" w:cs="Calibri"/>
          <w:b/>
          <w:bCs/>
          <w:kern w:val="0"/>
          <w14:ligatures w14:val="none"/>
        </w:rPr>
        <w:t>Acerca de Hollyland</w:t>
      </w:r>
    </w:p>
    <w:p w14:paraId="3640D3B5" w14:textId="02F808A4" w:rsidR="00722DD0" w:rsidRPr="00101185" w:rsidRDefault="00722DD0" w:rsidP="00722DD0">
      <w:pPr>
        <w:spacing w:after="0" w:line="235" w:lineRule="atLeast"/>
        <w:rPr>
          <w:rFonts w:ascii="Calibri" w:eastAsia="Times New Roman" w:hAnsi="Calibri" w:cs="Calibri"/>
          <w:kern w:val="0"/>
          <w14:ligatures w14:val="none"/>
        </w:rPr>
      </w:pPr>
      <w:r w:rsidRPr="00101185">
        <w:rPr>
          <w:rFonts w:ascii="Calibri" w:eastAsia="Times New Roman" w:hAnsi="Calibri" w:cs="Calibri"/>
          <w:kern w:val="0"/>
          <w14:ligatures w14:val="none"/>
        </w:rPr>
        <w:t xml:space="preserve">Hollyland lleva desde 2013 proporcionando a clientes de todo el mundo soluciones profesionales para la transmisión inalámbrica de datos, audio y vídeo, y la intercomunicación inalámbrica. Hollyland sirve a muchos mercados, incluyendo la realización de películas, rodajes de televisión, producción de vídeo, radiodifusión, eventos en vivo, exposiciones, medios de difusión, producción, teatros, lugares de culto y casas de alquiler. </w:t>
      </w:r>
    </w:p>
    <w:p w14:paraId="58FE471F" w14:textId="77777777" w:rsidR="00235785" w:rsidRDefault="00235785" w:rsidP="00235785">
      <w:pPr>
        <w:spacing w:after="0" w:line="235" w:lineRule="atLeast"/>
        <w:rPr>
          <w:rFonts w:ascii="Calibri" w:eastAsia="Times New Roman" w:hAnsi="Calibri" w:cs="Calibri"/>
          <w:color w:val="626262"/>
          <w:kern w:val="0"/>
          <w14:ligatures w14:val="none"/>
        </w:rPr>
      </w:pPr>
    </w:p>
    <w:p w14:paraId="55647B0B" w14:textId="0DDC1660" w:rsidR="00235785" w:rsidRPr="00235785" w:rsidRDefault="00235785" w:rsidP="00235785">
      <w:pPr>
        <w:spacing w:line="360" w:lineRule="auto"/>
        <w:rPr>
          <w:rFonts w:ascii="Calibri" w:eastAsia="Malgun Gothic" w:hAnsi="Calibri" w:cs="Calibri"/>
          <w:lang w:val="en-US"/>
        </w:rPr>
      </w:pPr>
      <w:r>
        <w:rPr>
          <w:rFonts w:ascii="Calibri" w:eastAsia="Malgun Gothic" w:hAnsi="Calibri" w:cs="Calibri"/>
        </w:rPr>
        <w:t xml:space="preserve">Puede encontrar más información sobre </w:t>
      </w:r>
      <w:r>
        <w:rPr>
          <w:rFonts w:ascii="Calibri" w:eastAsia="Malgun Gothic" w:hAnsi="Calibri" w:cs="Calibri"/>
        </w:rPr>
        <w:t>Hollyland</w:t>
      </w:r>
      <w:r>
        <w:rPr>
          <w:rFonts w:ascii="Calibri" w:eastAsia="Malgun Gothic" w:hAnsi="Calibri" w:cs="Calibri"/>
        </w:rPr>
        <w:t xml:space="preserve"> en la web oficial, en sus redes sociales y en las de su distribuidor oficial en España, Rodolfo Biber, SA. </w:t>
      </w:r>
      <w:r w:rsidRPr="00235785">
        <w:rPr>
          <w:rFonts w:ascii="Calibri" w:eastAsia="Malgun Gothic" w:hAnsi="Calibri" w:cs="Calibri"/>
          <w:lang w:val="en-US"/>
        </w:rPr>
        <w:t>(Robisa):</w:t>
      </w:r>
    </w:p>
    <w:p w14:paraId="0AD130A3" w14:textId="5B55C01E" w:rsidR="00235785" w:rsidRPr="00235785" w:rsidRDefault="00235785" w:rsidP="00235785">
      <w:pPr>
        <w:spacing w:line="360" w:lineRule="auto"/>
        <w:rPr>
          <w:rFonts w:ascii="Calibri" w:eastAsia="PMingLiU" w:hAnsi="Calibri" w:cs="Calibri"/>
          <w:sz w:val="24"/>
          <w:lang w:val="en-US"/>
        </w:rPr>
      </w:pPr>
      <w:r w:rsidRPr="00235785">
        <w:rPr>
          <w:rFonts w:ascii="Calibri" w:eastAsiaTheme="minorHAnsi" w:hAnsi="Calibri" w:cs="Calibri"/>
          <w:lang w:val="en-US"/>
        </w:rPr>
        <w:t>* Web:</w:t>
      </w:r>
      <w:r w:rsidRPr="00235785">
        <w:rPr>
          <w:rFonts w:ascii="Calibri" w:hAnsi="Calibri" w:cs="Calibri"/>
          <w:lang w:val="en-US"/>
        </w:rPr>
        <w:t xml:space="preserve"> </w:t>
      </w:r>
      <w:hyperlink r:id="rId10" w:history="1">
        <w:r w:rsidR="00166A4B" w:rsidRPr="00166A4B">
          <w:rPr>
            <w:rStyle w:val="Hipervnculo"/>
            <w:rFonts w:ascii="Calibri" w:hAnsi="Calibri" w:cs="Calibri"/>
            <w:lang w:val="en-US"/>
          </w:rPr>
          <w:t>https://www.robisa.es/hollyland/</w:t>
        </w:r>
      </w:hyperlink>
      <w:r w:rsidR="00166A4B">
        <w:rPr>
          <w:rFonts w:ascii="Calibri" w:hAnsi="Calibri" w:cs="Calibri"/>
          <w:lang w:val="en-US"/>
        </w:rPr>
        <w:t xml:space="preserve"> </w:t>
      </w:r>
      <w:r w:rsidRPr="00235785">
        <w:rPr>
          <w:rFonts w:ascii="Calibri" w:eastAsiaTheme="minorHAnsi" w:hAnsi="Calibri" w:cs="Calibri"/>
          <w:lang w:val="en-US"/>
        </w:rPr>
        <w:t xml:space="preserve">Shop: </w:t>
      </w:r>
      <w:hyperlink r:id="rId11" w:history="1">
        <w:r w:rsidR="00CF40DC" w:rsidRPr="00CF40DC">
          <w:rPr>
            <w:rStyle w:val="Hipervnculo"/>
            <w:rFonts w:ascii="Calibri" w:eastAsiaTheme="minorHAnsi" w:hAnsi="Calibri" w:cs="Calibri"/>
            <w:lang w:val="en-US"/>
          </w:rPr>
          <w:t>https://www.robisa.es/shop/123-hollyland</w:t>
        </w:r>
      </w:hyperlink>
      <w:r w:rsidRPr="00235785">
        <w:rPr>
          <w:rFonts w:ascii="Calibri" w:eastAsiaTheme="minorHAnsi" w:hAnsi="Calibri" w:cs="Calibri"/>
          <w:lang w:val="en-US"/>
        </w:rPr>
        <w:br/>
        <w:t xml:space="preserve">* Facebook: </w:t>
      </w:r>
      <w:hyperlink r:id="rId12" w:history="1">
        <w:r w:rsidRPr="00235785">
          <w:rPr>
            <w:rStyle w:val="Hipervnculo"/>
            <w:rFonts w:ascii="Calibri" w:eastAsiaTheme="minorHAnsi" w:hAnsi="Calibri" w:cs="Calibri"/>
            <w:lang w:val="en-US"/>
          </w:rPr>
          <w:t>@robisa</w:t>
        </w:r>
      </w:hyperlink>
      <w:r w:rsidRPr="00235785">
        <w:rPr>
          <w:rFonts w:ascii="Calibri" w:eastAsiaTheme="minorHAnsi" w:hAnsi="Calibri" w:cs="Calibri"/>
          <w:lang w:val="en-US"/>
        </w:rPr>
        <w:br/>
        <w:t xml:space="preserve">* Instagram: </w:t>
      </w:r>
      <w:hyperlink r:id="rId13" w:history="1">
        <w:r w:rsidRPr="00235785">
          <w:rPr>
            <w:rStyle w:val="Hipervnculo"/>
            <w:rFonts w:ascii="Calibri" w:eastAsiaTheme="minorHAnsi" w:hAnsi="Calibri" w:cs="Calibri"/>
            <w:lang w:val="en-US"/>
          </w:rPr>
          <w:t>@robisa</w:t>
        </w:r>
      </w:hyperlink>
      <w:r w:rsidRPr="00235785">
        <w:rPr>
          <w:rFonts w:ascii="Calibri" w:eastAsiaTheme="minorHAnsi" w:hAnsi="Calibri" w:cs="Calibri"/>
          <w:lang w:val="en-US"/>
        </w:rPr>
        <w:br/>
        <w:t xml:space="preserve">* Twitter: </w:t>
      </w:r>
      <w:hyperlink r:id="rId14" w:history="1">
        <w:r w:rsidRPr="00235785">
          <w:rPr>
            <w:rStyle w:val="Hipervnculo"/>
            <w:rFonts w:ascii="Calibri" w:eastAsiaTheme="minorHAnsi" w:hAnsi="Calibri" w:cs="Calibri"/>
            <w:lang w:val="en-US"/>
          </w:rPr>
          <w:t>@robisa</w:t>
        </w:r>
      </w:hyperlink>
    </w:p>
    <w:p w14:paraId="1BFD7D21" w14:textId="77777777" w:rsidR="00235785" w:rsidRPr="00235785" w:rsidRDefault="00235785" w:rsidP="00235785">
      <w:pPr>
        <w:spacing w:after="0" w:line="235" w:lineRule="atLeast"/>
        <w:rPr>
          <w:rFonts w:ascii="Calibri" w:eastAsia="Times New Roman" w:hAnsi="Calibri" w:cs="Calibri"/>
          <w:color w:val="626262"/>
          <w:kern w:val="0"/>
          <w:lang w:val="en-US"/>
          <w14:ligatures w14:val="none"/>
        </w:rPr>
      </w:pPr>
    </w:p>
    <w:sectPr w:rsidR="00235785" w:rsidRPr="00235785" w:rsidSect="00DB6A13">
      <w:headerReference w:type="default" r:id="rId15"/>
      <w:footerReference w:type="default" r:id="rId16"/>
      <w:pgSz w:w="11906" w:h="16838"/>
      <w:pgMar w:top="3100" w:right="1701" w:bottom="1417" w:left="1701" w:header="708" w:footer="6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1C05F" w14:textId="77777777" w:rsidR="00DB6A13" w:rsidRDefault="00DB6A13" w:rsidP="00A97B08">
      <w:pPr>
        <w:spacing w:after="0" w:line="240" w:lineRule="auto"/>
      </w:pPr>
      <w:r>
        <w:separator/>
      </w:r>
    </w:p>
  </w:endnote>
  <w:endnote w:type="continuationSeparator" w:id="0">
    <w:p w14:paraId="7CCE4350" w14:textId="77777777" w:rsidR="00DB6A13" w:rsidRDefault="00DB6A13" w:rsidP="00A97B08">
      <w:pPr>
        <w:spacing w:after="0" w:line="240" w:lineRule="auto"/>
      </w:pPr>
      <w:r>
        <w:continuationSeparator/>
      </w:r>
    </w:p>
  </w:endnote>
  <w:endnote w:type="continuationNotice" w:id="1">
    <w:p w14:paraId="6814A9A0" w14:textId="77777777" w:rsidR="00DB6A13" w:rsidRDefault="00DB6A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lata">
    <w:altName w:val="Cambria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F162" w14:textId="786D4F31" w:rsidR="0093489B" w:rsidRDefault="0093489B" w:rsidP="0093489B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>
      <w:rPr>
        <w:rFonts w:ascii="Arial" w:hAnsi="Arial" w:cs="Arial"/>
        <w:sz w:val="14"/>
        <w:szCs w:val="14"/>
        <w:lang w:val="pt-PT"/>
      </w:rPr>
      <w:t>DISTRIBUIDOR OFICIAL:</w:t>
    </w:r>
    <w:r w:rsidR="0039525D">
      <w:rPr>
        <w:rFonts w:ascii="Arial" w:hAnsi="Arial" w:cs="Arial"/>
        <w:sz w:val="14"/>
        <w:szCs w:val="14"/>
        <w:lang w:val="pt-PT"/>
      </w:rPr>
      <w:br/>
    </w:r>
  </w:p>
  <w:p w14:paraId="61C96575" w14:textId="662DB1DB" w:rsidR="00A97B08" w:rsidRPr="00A97B08" w:rsidRDefault="00A97B08" w:rsidP="0093489B">
    <w:pPr>
      <w:pStyle w:val="Piedepgina"/>
      <w:jc w:val="center"/>
      <w:rPr>
        <w:rFonts w:ascii="Arial" w:hAnsi="Arial" w:cs="Arial"/>
        <w:sz w:val="14"/>
        <w:szCs w:val="14"/>
        <w:lang w:val="pt-PT"/>
      </w:rPr>
    </w:pPr>
    <w:r w:rsidRPr="009E7BF8">
      <w:rPr>
        <w:rFonts w:ascii="Arial" w:hAnsi="Arial" w:cs="Arial"/>
        <w:sz w:val="14"/>
        <w:szCs w:val="14"/>
        <w:lang w:val="pt-PT"/>
      </w:rPr>
      <w:t xml:space="preserve">Rodolfo Biber, S.A.       Salcedo, 8     E - 28034 Madrid      Tel: +34 91 7292711      </w:t>
    </w:r>
    <w:hyperlink r:id="rId1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info@robisa.es</w:t>
      </w:r>
    </w:hyperlink>
    <w:r w:rsidRPr="009E7BF8">
      <w:rPr>
        <w:rFonts w:ascii="Arial" w:hAnsi="Arial" w:cs="Arial"/>
        <w:sz w:val="14"/>
        <w:szCs w:val="14"/>
        <w:lang w:val="pt-PT"/>
      </w:rPr>
      <w:t xml:space="preserve">      </w:t>
    </w:r>
    <w:hyperlink r:id="rId2" w:history="1">
      <w:r w:rsidRPr="009E7BF8">
        <w:rPr>
          <w:rStyle w:val="Hipervnculo"/>
          <w:rFonts w:ascii="Arial" w:hAnsi="Arial" w:cs="Arial"/>
          <w:sz w:val="14"/>
          <w:szCs w:val="14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45A91" w14:textId="77777777" w:rsidR="00DB6A13" w:rsidRDefault="00DB6A13" w:rsidP="00A97B08">
      <w:pPr>
        <w:spacing w:after="0" w:line="240" w:lineRule="auto"/>
      </w:pPr>
      <w:r>
        <w:separator/>
      </w:r>
    </w:p>
  </w:footnote>
  <w:footnote w:type="continuationSeparator" w:id="0">
    <w:p w14:paraId="78B4E243" w14:textId="77777777" w:rsidR="00DB6A13" w:rsidRDefault="00DB6A13" w:rsidP="00A97B08">
      <w:pPr>
        <w:spacing w:after="0" w:line="240" w:lineRule="auto"/>
      </w:pPr>
      <w:r>
        <w:continuationSeparator/>
      </w:r>
    </w:p>
  </w:footnote>
  <w:footnote w:type="continuationNotice" w:id="1">
    <w:p w14:paraId="4D88327C" w14:textId="77777777" w:rsidR="00DB6A13" w:rsidRDefault="00DB6A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D1AD" w14:textId="03360B7E" w:rsidR="0093489B" w:rsidRDefault="00D756F5" w:rsidP="0093489B">
    <w:pPr>
      <w:pStyle w:val="Encabezado"/>
      <w:jc w:val="cent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BFC848D" wp14:editId="42E48A31">
              <wp:simplePos x="0" y="0"/>
              <wp:positionH relativeFrom="column">
                <wp:posOffset>704215</wp:posOffset>
              </wp:positionH>
              <wp:positionV relativeFrom="paragraph">
                <wp:posOffset>-85725</wp:posOffset>
              </wp:positionV>
              <wp:extent cx="3867150" cy="1404620"/>
              <wp:effectExtent l="19050" t="19050" r="19050" b="2730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67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 cmpd="thickThin">
                        <a:solidFill>
                          <a:srgbClr val="FF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8538E6" w14:textId="43E295EA" w:rsidR="00D756F5" w:rsidRPr="00AC1EF3" w:rsidRDefault="00D756F5" w:rsidP="00D756F5">
                          <w:pPr>
                            <w:pStyle w:val="Encabezado"/>
                            <w:jc w:val="center"/>
                            <w:rPr>
                              <w:b/>
                              <w:bCs/>
                              <w:color w:val="FF0000"/>
                              <w:sz w:val="24"/>
                              <w:szCs w:val="24"/>
                              <w14:textOutline w14:w="9525" w14:cap="sq" w14:cmpd="thinThick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AC1EF3">
                            <w:rPr>
                              <w:b/>
                              <w:bCs/>
                              <w:color w:val="FF0000"/>
                              <w:sz w:val="24"/>
                              <w:szCs w:val="24"/>
                              <w14:textOutline w14:w="9525" w14:cap="sq" w14:cmpd="thinThick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EMBARGO: MIÉRCOLES 24 DE ABRIL, 15H CEST (MADRID)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FC84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55.45pt;margin-top:-6.75pt;width:304.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" strokecolor="red" strokeweight="3pt">
              <v:stroke linestyle="thickThin"/>
              <v:textbox style="mso-fit-shape-to-text:t">
                <w:txbxContent>
                  <w:p w14:paraId="618538E6" w14:textId="43E295EA" w:rsidR="00D756F5" w:rsidRPr="00AC1EF3" w:rsidRDefault="00D756F5" w:rsidP="00D756F5">
                    <w:pPr>
                      <w:pStyle w:val="Encabezado"/>
                      <w:jc w:val="center"/>
                      <w:rPr>
                        <w:b/>
                        <w:bCs/>
                        <w:color w:val="FF0000"/>
                        <w:sz w:val="24"/>
                        <w:szCs w:val="24"/>
                        <w14:textOutline w14:w="9525" w14:cap="sq" w14:cmpd="thinThick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AC1EF3">
                      <w:rPr>
                        <w:b/>
                        <w:bCs/>
                        <w:color w:val="FF0000"/>
                        <w:sz w:val="24"/>
                        <w:szCs w:val="24"/>
                        <w14:textOutline w14:w="9525" w14:cap="sq" w14:cmpd="thinThick" w14:algn="ctr">
                          <w14:noFill/>
                          <w14:prstDash w14:val="solid"/>
                          <w14:bevel/>
                        </w14:textOutline>
                      </w:rPr>
                      <w:t>EMBARGO: MIÉRCOLES 24 DE ABRIL, 15H CEST (MADRID)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DA4BC6B" w14:textId="79CBB0A0" w:rsidR="0093489B" w:rsidRDefault="0093489B" w:rsidP="0093489B">
    <w:pPr>
      <w:pStyle w:val="Encabezado"/>
      <w:jc w:val="center"/>
    </w:pPr>
  </w:p>
  <w:p w14:paraId="27A19CAE" w14:textId="3F7500AF" w:rsidR="0093489B" w:rsidRDefault="00965F68" w:rsidP="0093489B">
    <w:pPr>
      <w:pStyle w:val="Encabezado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73C3CBB" wp14:editId="6A5FF545">
          <wp:simplePos x="0" y="0"/>
          <wp:positionH relativeFrom="column">
            <wp:posOffset>3955415</wp:posOffset>
          </wp:positionH>
          <wp:positionV relativeFrom="paragraph">
            <wp:posOffset>160655</wp:posOffset>
          </wp:positionV>
          <wp:extent cx="1739900" cy="563245"/>
          <wp:effectExtent l="0" t="0" r="0" b="8255"/>
          <wp:wrapNone/>
          <wp:docPr id="489103970" name="Imagen 489103970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tipo, nombre de la empresa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9900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2F4A">
      <w:rPr>
        <w:rFonts w:ascii="Alata" w:eastAsia="Times New Roman" w:hAnsi="Alata" w:cs="Times New Roman"/>
        <w:noProof/>
        <w:color w:val="30393F"/>
        <w:kern w:val="0"/>
        <w:sz w:val="24"/>
        <w:szCs w:val="24"/>
        <w14:ligatures w14:val="none"/>
      </w:rPr>
      <w:drawing>
        <wp:anchor distT="0" distB="0" distL="114300" distR="114300" simplePos="0" relativeHeight="251658241" behindDoc="0" locked="0" layoutInCell="1" allowOverlap="1" wp14:anchorId="5D88CCEA" wp14:editId="4079D8C7">
          <wp:simplePos x="0" y="0"/>
          <wp:positionH relativeFrom="column">
            <wp:posOffset>-456565</wp:posOffset>
          </wp:positionH>
          <wp:positionV relativeFrom="paragraph">
            <wp:posOffset>159385</wp:posOffset>
          </wp:positionV>
          <wp:extent cx="2025650" cy="536833"/>
          <wp:effectExtent l="0" t="0" r="0" b="0"/>
          <wp:wrapNone/>
          <wp:docPr id="1337906077" name="Imagen 1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8733" name="Imagen 1" descr="Form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5650" cy="536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77C8DC" w14:textId="777623CF" w:rsidR="00D9335A" w:rsidRDefault="00D9335A" w:rsidP="0093489B">
    <w:pPr>
      <w:pStyle w:val="Encabezado"/>
      <w:jc w:val="center"/>
      <w:rPr>
        <w:sz w:val="28"/>
        <w:szCs w:val="28"/>
      </w:rPr>
    </w:pPr>
  </w:p>
  <w:p w14:paraId="43C82138" w14:textId="77777777" w:rsidR="00965F68" w:rsidRDefault="00965F68" w:rsidP="00965F68">
    <w:pPr>
      <w:pStyle w:val="Encabezado"/>
      <w:rPr>
        <w:sz w:val="28"/>
        <w:szCs w:val="28"/>
      </w:rPr>
    </w:pPr>
  </w:p>
  <w:p w14:paraId="1EA864E4" w14:textId="64984372" w:rsidR="0093489B" w:rsidRPr="001E083B" w:rsidRDefault="0093489B" w:rsidP="00965F68">
    <w:pPr>
      <w:pStyle w:val="Encabezado"/>
      <w:jc w:val="center"/>
      <w:rPr>
        <w:sz w:val="28"/>
        <w:szCs w:val="28"/>
      </w:rPr>
    </w:pPr>
    <w:r w:rsidRPr="001E083B">
      <w:rPr>
        <w:sz w:val="28"/>
        <w:szCs w:val="28"/>
      </w:rPr>
      <w:t>COMUNICADO</w:t>
    </w:r>
    <w:r w:rsidR="00965F68">
      <w:rPr>
        <w:sz w:val="28"/>
        <w:szCs w:val="28"/>
      </w:rPr>
      <w:t xml:space="preserve"> </w:t>
    </w:r>
    <w:r w:rsidRPr="001E083B">
      <w:rPr>
        <w:sz w:val="28"/>
        <w:szCs w:val="28"/>
      </w:rPr>
      <w:t>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7C2E6F"/>
    <w:multiLevelType w:val="hybridMultilevel"/>
    <w:tmpl w:val="3B0A4D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2E7160"/>
    <w:multiLevelType w:val="hybridMultilevel"/>
    <w:tmpl w:val="5CDCD78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60737D4"/>
    <w:multiLevelType w:val="multilevel"/>
    <w:tmpl w:val="23C4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2131011">
    <w:abstractNumId w:val="2"/>
  </w:num>
  <w:num w:numId="2" w16cid:durableId="1477183763">
    <w:abstractNumId w:val="1"/>
  </w:num>
  <w:num w:numId="3" w16cid:durableId="239025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590"/>
    <w:rsid w:val="00003ADE"/>
    <w:rsid w:val="00013A4E"/>
    <w:rsid w:val="000233FB"/>
    <w:rsid w:val="00051EA8"/>
    <w:rsid w:val="00060277"/>
    <w:rsid w:val="0007031E"/>
    <w:rsid w:val="000A05A2"/>
    <w:rsid w:val="000B5818"/>
    <w:rsid w:val="000D2DBC"/>
    <w:rsid w:val="000E4CF4"/>
    <w:rsid w:val="00101185"/>
    <w:rsid w:val="001244CF"/>
    <w:rsid w:val="00166A4B"/>
    <w:rsid w:val="001718A6"/>
    <w:rsid w:val="00173658"/>
    <w:rsid w:val="001A39A8"/>
    <w:rsid w:val="001C345A"/>
    <w:rsid w:val="001C72DF"/>
    <w:rsid w:val="001E083B"/>
    <w:rsid w:val="001E3CE7"/>
    <w:rsid w:val="00205A2D"/>
    <w:rsid w:val="00226E2A"/>
    <w:rsid w:val="0023066C"/>
    <w:rsid w:val="00231E52"/>
    <w:rsid w:val="00235785"/>
    <w:rsid w:val="002702E8"/>
    <w:rsid w:val="00300F2F"/>
    <w:rsid w:val="00312EEA"/>
    <w:rsid w:val="00337C03"/>
    <w:rsid w:val="0036228E"/>
    <w:rsid w:val="00362A84"/>
    <w:rsid w:val="00376172"/>
    <w:rsid w:val="0039525D"/>
    <w:rsid w:val="00396146"/>
    <w:rsid w:val="003A1990"/>
    <w:rsid w:val="003B4E57"/>
    <w:rsid w:val="00413396"/>
    <w:rsid w:val="004234EB"/>
    <w:rsid w:val="004925BD"/>
    <w:rsid w:val="00493370"/>
    <w:rsid w:val="00496BFE"/>
    <w:rsid w:val="004F42F5"/>
    <w:rsid w:val="004F7750"/>
    <w:rsid w:val="00516796"/>
    <w:rsid w:val="00527B0A"/>
    <w:rsid w:val="00561F39"/>
    <w:rsid w:val="0059649F"/>
    <w:rsid w:val="005C697C"/>
    <w:rsid w:val="00624348"/>
    <w:rsid w:val="006838D0"/>
    <w:rsid w:val="006861E5"/>
    <w:rsid w:val="006B226F"/>
    <w:rsid w:val="006C1EE2"/>
    <w:rsid w:val="006E781B"/>
    <w:rsid w:val="006F38CF"/>
    <w:rsid w:val="007105FA"/>
    <w:rsid w:val="007118F0"/>
    <w:rsid w:val="00722DD0"/>
    <w:rsid w:val="00724479"/>
    <w:rsid w:val="007672E3"/>
    <w:rsid w:val="0077038A"/>
    <w:rsid w:val="007973CD"/>
    <w:rsid w:val="00812F4A"/>
    <w:rsid w:val="00852691"/>
    <w:rsid w:val="008C0300"/>
    <w:rsid w:val="008D27A1"/>
    <w:rsid w:val="0093489B"/>
    <w:rsid w:val="0095127D"/>
    <w:rsid w:val="00955132"/>
    <w:rsid w:val="00965F68"/>
    <w:rsid w:val="009A7FF3"/>
    <w:rsid w:val="009F2220"/>
    <w:rsid w:val="00A53FBB"/>
    <w:rsid w:val="00A71773"/>
    <w:rsid w:val="00A850F8"/>
    <w:rsid w:val="00A95E36"/>
    <w:rsid w:val="00A97B08"/>
    <w:rsid w:val="00AA2E81"/>
    <w:rsid w:val="00AC1EF3"/>
    <w:rsid w:val="00AC5712"/>
    <w:rsid w:val="00AC5CB9"/>
    <w:rsid w:val="00B17643"/>
    <w:rsid w:val="00B2530F"/>
    <w:rsid w:val="00B44D74"/>
    <w:rsid w:val="00B5565B"/>
    <w:rsid w:val="00B6537A"/>
    <w:rsid w:val="00B65AA0"/>
    <w:rsid w:val="00B66992"/>
    <w:rsid w:val="00B72A5D"/>
    <w:rsid w:val="00C34BC8"/>
    <w:rsid w:val="00C55EA9"/>
    <w:rsid w:val="00C873D4"/>
    <w:rsid w:val="00CA6999"/>
    <w:rsid w:val="00CB282E"/>
    <w:rsid w:val="00CC6572"/>
    <w:rsid w:val="00CD3E0F"/>
    <w:rsid w:val="00CF11B2"/>
    <w:rsid w:val="00CF40DC"/>
    <w:rsid w:val="00D23FCB"/>
    <w:rsid w:val="00D31E3D"/>
    <w:rsid w:val="00D36250"/>
    <w:rsid w:val="00D42FF0"/>
    <w:rsid w:val="00D6695B"/>
    <w:rsid w:val="00D756F5"/>
    <w:rsid w:val="00D9298E"/>
    <w:rsid w:val="00D9335A"/>
    <w:rsid w:val="00DB6A13"/>
    <w:rsid w:val="00DF6F93"/>
    <w:rsid w:val="00E21EE6"/>
    <w:rsid w:val="00E31522"/>
    <w:rsid w:val="00E35B0B"/>
    <w:rsid w:val="00E61D2E"/>
    <w:rsid w:val="00E63AE3"/>
    <w:rsid w:val="00E71CA4"/>
    <w:rsid w:val="00E7760C"/>
    <w:rsid w:val="00EB128E"/>
    <w:rsid w:val="00EC6589"/>
    <w:rsid w:val="00EF7897"/>
    <w:rsid w:val="00F20590"/>
    <w:rsid w:val="00F47461"/>
    <w:rsid w:val="00F5789C"/>
    <w:rsid w:val="00F6352B"/>
    <w:rsid w:val="00F648FE"/>
    <w:rsid w:val="00FA1576"/>
    <w:rsid w:val="00FA2573"/>
    <w:rsid w:val="00FC41B2"/>
    <w:rsid w:val="00FD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9F534"/>
  <w15:chartTrackingRefBased/>
  <w15:docId w15:val="{5BC76E54-B2EA-4DEC-9282-1D6249094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ko-K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F205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20590"/>
    <w:rPr>
      <w:rFonts w:ascii="Times New Roman" w:eastAsia="Times New Roman" w:hAnsi="Times New Roman" w:cs="Times New Roman"/>
      <w:b/>
      <w:bCs/>
      <w:kern w:val="36"/>
      <w:sz w:val="48"/>
      <w:szCs w:val="48"/>
      <w14:ligatures w14:val="none"/>
    </w:rPr>
  </w:style>
  <w:style w:type="character" w:customStyle="1" w:styleId="image-description">
    <w:name w:val="image-description"/>
    <w:basedOn w:val="Fuentedeprrafopredeter"/>
    <w:rsid w:val="00F20590"/>
  </w:style>
  <w:style w:type="paragraph" w:styleId="NormalWeb">
    <w:name w:val="Normal (Web)"/>
    <w:basedOn w:val="Normal"/>
    <w:uiPriority w:val="99"/>
    <w:semiHidden/>
    <w:unhideWhenUsed/>
    <w:rsid w:val="00F20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Textoennegrita">
    <w:name w:val="Strong"/>
    <w:basedOn w:val="Fuentedeprrafopredeter"/>
    <w:uiPriority w:val="22"/>
    <w:qFormat/>
    <w:rsid w:val="00F20590"/>
    <w:rPr>
      <w:b/>
      <w:bCs/>
    </w:rPr>
  </w:style>
  <w:style w:type="character" w:styleId="nfasis">
    <w:name w:val="Emphasis"/>
    <w:basedOn w:val="Fuentedeprrafopredeter"/>
    <w:uiPriority w:val="20"/>
    <w:qFormat/>
    <w:rsid w:val="00F20590"/>
    <w:rPr>
      <w:i/>
      <w:iCs/>
    </w:rPr>
  </w:style>
  <w:style w:type="paragraph" w:styleId="Encabezado">
    <w:name w:val="header"/>
    <w:basedOn w:val="Normal"/>
    <w:link w:val="EncabezadoCar"/>
    <w:uiPriority w:val="99"/>
    <w:unhideWhenUsed/>
    <w:rsid w:val="00A97B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7B08"/>
  </w:style>
  <w:style w:type="paragraph" w:styleId="Piedepgina">
    <w:name w:val="footer"/>
    <w:basedOn w:val="Normal"/>
    <w:link w:val="PiedepginaCar"/>
    <w:unhideWhenUsed/>
    <w:rsid w:val="00A97B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7B08"/>
  </w:style>
  <w:style w:type="character" w:styleId="Hipervnculo">
    <w:name w:val="Hyperlink"/>
    <w:basedOn w:val="Fuentedeprrafopredeter"/>
    <w:uiPriority w:val="99"/>
    <w:unhideWhenUsed/>
    <w:rsid w:val="00A97B0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648FE"/>
    <w:pPr>
      <w:ind w:left="720"/>
      <w:contextualSpacing/>
    </w:pPr>
  </w:style>
  <w:style w:type="character" w:customStyle="1" w:styleId="ui-provider">
    <w:name w:val="ui-provider"/>
    <w:basedOn w:val="Fuentedeprrafopredeter"/>
    <w:rsid w:val="008C0300"/>
  </w:style>
  <w:style w:type="character" w:styleId="Mencinsinresolver">
    <w:name w:val="Unresolved Mention"/>
    <w:basedOn w:val="Fuentedeprrafopredeter"/>
    <w:uiPriority w:val="99"/>
    <w:semiHidden/>
    <w:unhideWhenUsed/>
    <w:rsid w:val="00166A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49214">
          <w:marLeft w:val="-720"/>
          <w:marRight w:val="-72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nstagram.com/robisa.e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RobisaIberi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obisa.es/shop/123-hollyland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robisa.es/hollyland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ROBISA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obisa.es" TargetMode="External"/><Relationship Id="rId1" Type="http://schemas.openxmlformats.org/officeDocument/2006/relationships/hyperlink" Target="mailto:info@robisa.e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F364D9-DCC4-43D0-9318-1BCC3C7DF892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A48A4E20-51C5-4A9F-8C36-C4F65A466D8C}"/>
</file>

<file path=customXml/itemProps3.xml><?xml version="1.0" encoding="utf-8"?>
<ds:datastoreItem xmlns:ds="http://schemas.openxmlformats.org/officeDocument/2006/customXml" ds:itemID="{F094B32E-EA20-4040-BF4F-D3306F0EB3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3</Pages>
  <Words>782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Biber</dc:creator>
  <cp:keywords/>
  <dc:description/>
  <cp:lastModifiedBy>Susanne Semrau</cp:lastModifiedBy>
  <cp:revision>75</cp:revision>
  <dcterms:created xsi:type="dcterms:W3CDTF">2024-04-18T10:17:00Z</dcterms:created>
  <dcterms:modified xsi:type="dcterms:W3CDTF">2024-04-23T11:03:00Z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