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06CEE" w14:textId="23F45FE9" w:rsidR="00EE6BA4" w:rsidRPr="00EE6BA4" w:rsidRDefault="00EE6BA4" w:rsidP="00EE6BA4">
      <w:pPr>
        <w:spacing w:line="240" w:lineRule="auto"/>
        <w:jc w:val="center"/>
        <w:rPr>
          <w:rFonts w:asciiTheme="minorEastAsia" w:hAnsiTheme="minorEastAsia" w:cs="Arial"/>
          <w:b/>
          <w:color w:val="000000" w:themeColor="text1"/>
          <w:sz w:val="36"/>
          <w:szCs w:val="36"/>
          <w:lang w:val="es-ES"/>
        </w:rPr>
      </w:pPr>
      <w:r w:rsidRPr="00EE6BA4">
        <w:rPr>
          <w:rFonts w:asciiTheme="minorEastAsia" w:hAnsiTheme="minorEastAsia" w:cs="Arial"/>
          <w:b/>
          <w:color w:val="000000" w:themeColor="text1"/>
          <w:sz w:val="36"/>
          <w:szCs w:val="36"/>
          <w:lang w:val="es-ES"/>
        </w:rPr>
        <w:t>SAMYANG lanza la serie Prima,</w:t>
      </w:r>
      <w:r>
        <w:rPr>
          <w:rFonts w:asciiTheme="minorEastAsia" w:hAnsiTheme="minorEastAsia" w:cs="Arial"/>
          <w:b/>
          <w:color w:val="000000" w:themeColor="text1"/>
          <w:sz w:val="36"/>
          <w:szCs w:val="36"/>
          <w:lang w:val="es-ES"/>
        </w:rPr>
        <w:br/>
      </w:r>
      <w:r w:rsidRPr="00EE6BA4">
        <w:rPr>
          <w:rFonts w:asciiTheme="minorEastAsia" w:hAnsiTheme="minorEastAsia" w:cs="Arial"/>
          <w:b/>
          <w:color w:val="000000" w:themeColor="text1"/>
          <w:sz w:val="36"/>
          <w:szCs w:val="36"/>
          <w:lang w:val="es-ES"/>
        </w:rPr>
        <w:t xml:space="preserve"> el AF 35mm F1.4 P FE</w:t>
      </w:r>
    </w:p>
    <w:p w14:paraId="5C2BDDF0" w14:textId="6223A547" w:rsidR="00EE6BA4" w:rsidRPr="00EE6BA4" w:rsidRDefault="00EE6BA4" w:rsidP="00EE6BA4">
      <w:pPr>
        <w:spacing w:line="240" w:lineRule="auto"/>
        <w:jc w:val="center"/>
        <w:rPr>
          <w:rFonts w:asciiTheme="minorEastAsia" w:hAnsiTheme="minorEastAsia" w:cs="Arial"/>
          <w:b/>
          <w:color w:val="000000" w:themeColor="text1"/>
          <w:sz w:val="24"/>
          <w:szCs w:val="24"/>
          <w:lang w:val="es-ES"/>
        </w:rPr>
      </w:pPr>
      <w:r w:rsidRPr="00EE6BA4">
        <w:rPr>
          <w:rFonts w:asciiTheme="minorEastAsia" w:hAnsiTheme="minorEastAsia" w:cs="Arial"/>
          <w:b/>
          <w:color w:val="000000" w:themeColor="text1"/>
          <w:sz w:val="24"/>
          <w:szCs w:val="24"/>
          <w:lang w:val="es-ES"/>
        </w:rPr>
        <w:t>Portabilidad - Practicidad – Comodidad</w:t>
      </w:r>
    </w:p>
    <w:p w14:paraId="4F529012" w14:textId="77777777" w:rsidR="006D7B31" w:rsidRDefault="006D7B31" w:rsidP="002C05D6">
      <w:pPr>
        <w:spacing w:line="240" w:lineRule="auto"/>
        <w:rPr>
          <w:rFonts w:asciiTheme="minorEastAsia" w:hAnsiTheme="minorEastAsia"/>
          <w:b/>
          <w:color w:val="000000" w:themeColor="text1"/>
          <w:lang w:val="es-ES"/>
        </w:rPr>
      </w:pPr>
    </w:p>
    <w:p w14:paraId="32045D70" w14:textId="27056F27" w:rsidR="0043500C" w:rsidRDefault="00C75C44" w:rsidP="002C05D6">
      <w:pPr>
        <w:spacing w:line="240" w:lineRule="auto"/>
        <w:rPr>
          <w:rFonts w:asciiTheme="minorEastAsia" w:hAnsiTheme="minorEastAsia"/>
          <w:bCs/>
          <w:color w:val="000000" w:themeColor="text1"/>
          <w:lang w:val="es-ES"/>
        </w:rPr>
      </w:pPr>
      <w:r w:rsidRPr="00C75C44">
        <w:rPr>
          <w:rFonts w:asciiTheme="minorEastAsia" w:hAnsiTheme="minorEastAsia"/>
          <w:b/>
          <w:color w:val="000000" w:themeColor="text1"/>
          <w:lang w:val="es-ES"/>
        </w:rPr>
        <w:t>05 de diciembre 2024</w:t>
      </w:r>
      <w:r w:rsidRPr="00C75C44">
        <w:rPr>
          <w:rFonts w:asciiTheme="minorEastAsia" w:hAnsiTheme="minorEastAsia"/>
          <w:bCs/>
          <w:color w:val="000000" w:themeColor="text1"/>
          <w:lang w:val="es-ES"/>
        </w:rPr>
        <w:t>, Seúl</w:t>
      </w:r>
      <w:r>
        <w:rPr>
          <w:rFonts w:asciiTheme="minorEastAsia" w:hAnsiTheme="minorEastAsia"/>
          <w:bCs/>
          <w:color w:val="000000" w:themeColor="text1"/>
          <w:lang w:val="es-ES"/>
        </w:rPr>
        <w:t xml:space="preserve">, </w:t>
      </w:r>
      <w:r w:rsidRPr="00C75C44">
        <w:rPr>
          <w:rFonts w:asciiTheme="minorEastAsia" w:hAnsiTheme="minorEastAsia"/>
          <w:bCs/>
          <w:color w:val="000000" w:themeColor="text1"/>
          <w:lang w:val="es-ES"/>
        </w:rPr>
        <w:t>República de Corea</w:t>
      </w:r>
      <w:r>
        <w:rPr>
          <w:rFonts w:asciiTheme="minorEastAsia" w:hAnsiTheme="minorEastAsia"/>
          <w:bCs/>
          <w:color w:val="000000" w:themeColor="text1"/>
          <w:lang w:val="es-ES"/>
        </w:rPr>
        <w:t xml:space="preserve">- </w:t>
      </w:r>
      <w:r w:rsidRPr="00C75C44">
        <w:rPr>
          <w:rFonts w:asciiTheme="minorEastAsia" w:hAnsiTheme="minorEastAsia"/>
          <w:bCs/>
          <w:color w:val="000000" w:themeColor="text1"/>
          <w:lang w:val="es-ES"/>
        </w:rPr>
        <w:t xml:space="preserve">LK SAMYANG, </w:t>
      </w:r>
      <w:r w:rsidR="002C05D6" w:rsidRPr="002C05D6">
        <w:rPr>
          <w:rFonts w:asciiTheme="minorEastAsia" w:hAnsiTheme="minorEastAsia"/>
          <w:bCs/>
          <w:color w:val="000000" w:themeColor="text1"/>
          <w:lang w:val="es-ES"/>
        </w:rPr>
        <w:t xml:space="preserve">una marca óptica líder a nivel </w:t>
      </w:r>
      <w:proofErr w:type="gramStart"/>
      <w:r w:rsidR="002C05D6" w:rsidRPr="002C05D6">
        <w:rPr>
          <w:rFonts w:asciiTheme="minorEastAsia" w:hAnsiTheme="minorEastAsia"/>
          <w:bCs/>
          <w:color w:val="000000" w:themeColor="text1"/>
          <w:lang w:val="es-ES"/>
        </w:rPr>
        <w:t>mundial,</w:t>
      </w:r>
      <w:proofErr w:type="gramEnd"/>
      <w:r w:rsidR="002C05D6" w:rsidRPr="002C05D6">
        <w:rPr>
          <w:rFonts w:asciiTheme="minorEastAsia" w:hAnsiTheme="minorEastAsia"/>
          <w:bCs/>
          <w:color w:val="000000" w:themeColor="text1"/>
          <w:lang w:val="es-ES"/>
        </w:rPr>
        <w:t xml:space="preserve"> se enorgullece de anunciar el lanzamiento del primer objetivo de la Serie Prima de LK SAMYANG: el AF 35mm F1.4 P FE. </w:t>
      </w:r>
      <w:r w:rsidR="0043500C" w:rsidRPr="0043500C">
        <w:rPr>
          <w:rFonts w:asciiTheme="minorEastAsia" w:hAnsiTheme="minorEastAsia"/>
          <w:bCs/>
          <w:color w:val="000000" w:themeColor="text1"/>
          <w:lang w:val="es-ES"/>
        </w:rPr>
        <w:t>Inspirada en la palabra latina «Prima», que significa «Primero» e «Importante», esta serie establece un nuevo estándar en la tecnología de la marca, al tratarse de objetivos de tercera generación.</w:t>
      </w:r>
    </w:p>
    <w:p w14:paraId="5DA75CB3" w14:textId="635E4184" w:rsidR="002C05D6" w:rsidRPr="002C05D6" w:rsidRDefault="002C05D6" w:rsidP="002C05D6">
      <w:pPr>
        <w:spacing w:line="240" w:lineRule="auto"/>
        <w:rPr>
          <w:rFonts w:asciiTheme="minorEastAsia" w:hAnsiTheme="minorEastAsia"/>
          <w:bCs/>
          <w:color w:val="000000" w:themeColor="text1"/>
          <w:lang w:val="es-ES"/>
        </w:rPr>
      </w:pPr>
      <w:r w:rsidRPr="002C05D6">
        <w:rPr>
          <w:rFonts w:asciiTheme="minorEastAsia" w:hAnsiTheme="minorEastAsia"/>
          <w:bCs/>
          <w:color w:val="000000" w:themeColor="text1"/>
          <w:lang w:val="es-ES"/>
        </w:rPr>
        <w:t>El AF 35mm F1.4 P FE, pionero de la Serie Prima, está meticulosamente diseñado para equilibrar el rendimiento de gama alta con la practicidad, haciendo hincapié en un diseño compacto y ligero. Este objetivo no es sólo un avance tecnológico, sino que también está diseñado para ser accesible, con el objetivo de ofrecer características de primer nivel a un precio razonable. Está diseñado para atraer a un gran número de personas, garantizando que todos los entusiastas de la fotografía puedan disfrutar de una calidad profesional sin tener que pagar un precio elevado.</w:t>
      </w:r>
    </w:p>
    <w:p w14:paraId="187B426D" w14:textId="054A5712" w:rsidR="002C05D6" w:rsidRPr="002C05D6" w:rsidRDefault="002C05D6" w:rsidP="002C05D6">
      <w:pPr>
        <w:spacing w:line="240" w:lineRule="auto"/>
        <w:rPr>
          <w:rFonts w:asciiTheme="minorEastAsia" w:hAnsiTheme="minorEastAsia"/>
          <w:bCs/>
          <w:color w:val="000000" w:themeColor="text1"/>
          <w:lang w:val="es-ES"/>
        </w:rPr>
      </w:pPr>
      <w:r w:rsidRPr="002C05D6">
        <w:rPr>
          <w:rFonts w:asciiTheme="minorEastAsia" w:hAnsiTheme="minorEastAsia"/>
          <w:bCs/>
          <w:color w:val="000000" w:themeColor="text1"/>
          <w:lang w:val="es-ES"/>
        </w:rPr>
        <w:t xml:space="preserve">El nuevo objetivo AF 35mm F1.4 P FE es el objetivo de focal fija AF 35mm F1.4 más ligero y se caracteriza por su </w:t>
      </w:r>
      <w:r w:rsidRPr="006D7B31">
        <w:rPr>
          <w:rFonts w:asciiTheme="minorEastAsia" w:hAnsiTheme="minorEastAsia"/>
          <w:b/>
          <w:color w:val="000000" w:themeColor="text1"/>
          <w:lang w:val="es-ES"/>
        </w:rPr>
        <w:t>«Portabilidad», «Practicidad» y «Comodidad».</w:t>
      </w:r>
    </w:p>
    <w:p w14:paraId="061EE4D7" w14:textId="77777777" w:rsidR="008A02E1" w:rsidRDefault="002C05D6" w:rsidP="002C05D6">
      <w:pPr>
        <w:spacing w:line="240" w:lineRule="auto"/>
        <w:rPr>
          <w:rFonts w:asciiTheme="minorEastAsia" w:hAnsiTheme="minorEastAsia"/>
          <w:bCs/>
          <w:color w:val="000000" w:themeColor="text1"/>
          <w:lang w:val="es-ES"/>
        </w:rPr>
      </w:pPr>
      <w:r w:rsidRPr="006D7B31">
        <w:rPr>
          <w:rFonts w:asciiTheme="minorEastAsia" w:hAnsiTheme="minorEastAsia"/>
          <w:b/>
          <w:color w:val="000000" w:themeColor="text1"/>
          <w:lang w:val="es-ES"/>
        </w:rPr>
        <w:t>Portabilidad:</w:t>
      </w:r>
      <w:r w:rsidRPr="002C05D6">
        <w:rPr>
          <w:rFonts w:asciiTheme="minorEastAsia" w:hAnsiTheme="minorEastAsia"/>
          <w:bCs/>
          <w:color w:val="000000" w:themeColor="text1"/>
          <w:lang w:val="es-ES"/>
        </w:rPr>
        <w:t xml:space="preserve"> </w:t>
      </w:r>
    </w:p>
    <w:p w14:paraId="4BB00745" w14:textId="5C6E6E6C" w:rsidR="002C05D6" w:rsidRPr="002C05D6" w:rsidRDefault="00E61C22" w:rsidP="002C05D6">
      <w:pPr>
        <w:spacing w:line="240" w:lineRule="auto"/>
        <w:rPr>
          <w:rFonts w:asciiTheme="minorEastAsia" w:hAnsiTheme="minorEastAsia"/>
          <w:bCs/>
          <w:color w:val="000000" w:themeColor="text1"/>
          <w:lang w:val="es-ES"/>
        </w:rPr>
      </w:pPr>
      <w:r>
        <w:rPr>
          <w:rFonts w:asciiTheme="minorEastAsia" w:hAnsiTheme="minorEastAsia"/>
          <w:bCs/>
          <w:color w:val="000000" w:themeColor="text1"/>
          <w:lang w:val="es-ES"/>
        </w:rPr>
        <w:t xml:space="preserve">Con </w:t>
      </w:r>
      <w:r w:rsidRPr="002C05D6">
        <w:rPr>
          <w:rFonts w:asciiTheme="minorEastAsia" w:hAnsiTheme="minorEastAsia"/>
          <w:bCs/>
          <w:color w:val="000000" w:themeColor="text1"/>
          <w:lang w:val="es-ES"/>
        </w:rPr>
        <w:t>el objetivo 35 mm F1,4</w:t>
      </w:r>
      <w:r>
        <w:rPr>
          <w:rFonts w:asciiTheme="minorEastAsia" w:hAnsiTheme="minorEastAsia"/>
          <w:bCs/>
          <w:color w:val="000000" w:themeColor="text1"/>
          <w:lang w:val="es-ES"/>
        </w:rPr>
        <w:t xml:space="preserve"> podrá disfrutar de una </w:t>
      </w:r>
      <w:r w:rsidR="002C05D6" w:rsidRPr="002C05D6">
        <w:rPr>
          <w:rFonts w:asciiTheme="minorEastAsia" w:hAnsiTheme="minorEastAsia"/>
          <w:bCs/>
          <w:color w:val="000000" w:themeColor="text1"/>
          <w:lang w:val="es-ES"/>
        </w:rPr>
        <w:t>portabilidad inigualable</w:t>
      </w:r>
      <w:r>
        <w:rPr>
          <w:rFonts w:asciiTheme="minorEastAsia" w:hAnsiTheme="minorEastAsia"/>
          <w:bCs/>
          <w:color w:val="000000" w:themeColor="text1"/>
          <w:lang w:val="es-ES"/>
        </w:rPr>
        <w:t xml:space="preserve">. Es el objetivo </w:t>
      </w:r>
      <w:r w:rsidR="002C05D6" w:rsidRPr="002C05D6">
        <w:rPr>
          <w:rFonts w:asciiTheme="minorEastAsia" w:hAnsiTheme="minorEastAsia"/>
          <w:bCs/>
          <w:color w:val="000000" w:themeColor="text1"/>
          <w:lang w:val="es-ES"/>
        </w:rPr>
        <w:t>más ligero para la montura Sony E de fotograma completo, con un peso de tan solo 470 g. Su diseño compacto es ideal para la fotografía sobre la marcha, complementando a la perfección cámaras ligeras como la Sony α7C II y la ZV-E1. Llév</w:t>
      </w:r>
      <w:r>
        <w:rPr>
          <w:rFonts w:asciiTheme="minorEastAsia" w:hAnsiTheme="minorEastAsia"/>
          <w:bCs/>
          <w:color w:val="000000" w:themeColor="text1"/>
          <w:lang w:val="es-ES"/>
        </w:rPr>
        <w:t xml:space="preserve">elo </w:t>
      </w:r>
      <w:r w:rsidR="002C05D6" w:rsidRPr="002C05D6">
        <w:rPr>
          <w:rFonts w:asciiTheme="minorEastAsia" w:hAnsiTheme="minorEastAsia"/>
          <w:bCs/>
          <w:color w:val="000000" w:themeColor="text1"/>
          <w:lang w:val="es-ES"/>
        </w:rPr>
        <w:t>a cualquier parte, en cualquier momento, sin compromisos.</w:t>
      </w:r>
    </w:p>
    <w:p w14:paraId="74B615B4" w14:textId="5F22DC2A" w:rsidR="00E61C22" w:rsidRDefault="00A22EED" w:rsidP="00A22EED">
      <w:pPr>
        <w:spacing w:line="240" w:lineRule="auto"/>
        <w:rPr>
          <w:rFonts w:asciiTheme="minorEastAsia" w:hAnsiTheme="minorEastAsia"/>
          <w:b/>
          <w:color w:val="000000" w:themeColor="text1"/>
          <w:lang w:val="es-ES"/>
        </w:rPr>
      </w:pPr>
      <w:r w:rsidRPr="00A22EED">
        <w:rPr>
          <w:rFonts w:asciiTheme="minorEastAsia" w:hAnsiTheme="minorEastAsia"/>
          <w:b/>
          <w:color w:val="000000" w:themeColor="text1"/>
          <w:lang w:val="es-ES"/>
        </w:rPr>
        <w:t>Pr</w:t>
      </w:r>
      <w:r w:rsidR="008A4B9E">
        <w:rPr>
          <w:rFonts w:asciiTheme="minorEastAsia" w:hAnsiTheme="minorEastAsia"/>
          <w:b/>
          <w:color w:val="000000" w:themeColor="text1"/>
          <w:lang w:val="es-ES"/>
        </w:rPr>
        <w:t>a</w:t>
      </w:r>
      <w:r w:rsidRPr="00A22EED">
        <w:rPr>
          <w:rFonts w:asciiTheme="minorEastAsia" w:hAnsiTheme="minorEastAsia"/>
          <w:b/>
          <w:color w:val="000000" w:themeColor="text1"/>
          <w:lang w:val="es-ES"/>
        </w:rPr>
        <w:t>ctic</w:t>
      </w:r>
      <w:r w:rsidR="00DE158A">
        <w:rPr>
          <w:rFonts w:asciiTheme="minorEastAsia" w:hAnsiTheme="minorEastAsia"/>
          <w:b/>
          <w:color w:val="000000" w:themeColor="text1"/>
          <w:lang w:val="es-ES"/>
        </w:rPr>
        <w:t>idad</w:t>
      </w:r>
      <w:r w:rsidR="008A4B9E">
        <w:rPr>
          <w:rFonts w:asciiTheme="minorEastAsia" w:hAnsiTheme="minorEastAsia"/>
          <w:b/>
          <w:color w:val="000000" w:themeColor="text1"/>
          <w:lang w:val="es-ES"/>
        </w:rPr>
        <w:t>:</w:t>
      </w:r>
      <w:r>
        <w:rPr>
          <w:rFonts w:asciiTheme="minorEastAsia" w:hAnsiTheme="minorEastAsia"/>
          <w:b/>
          <w:color w:val="000000" w:themeColor="text1"/>
          <w:lang w:val="es-ES"/>
        </w:rPr>
        <w:t xml:space="preserve"> </w:t>
      </w:r>
    </w:p>
    <w:p w14:paraId="2EFBC794" w14:textId="1814930C" w:rsidR="00A22EED" w:rsidRPr="00A22EED" w:rsidRDefault="00A22EED" w:rsidP="00A22EED">
      <w:pPr>
        <w:spacing w:line="240" w:lineRule="auto"/>
        <w:rPr>
          <w:rFonts w:asciiTheme="minorEastAsia" w:hAnsiTheme="minorEastAsia"/>
          <w:bCs/>
          <w:color w:val="000000" w:themeColor="text1"/>
          <w:lang w:val="es-ES"/>
        </w:rPr>
      </w:pPr>
      <w:r w:rsidRPr="00A22EED">
        <w:rPr>
          <w:rFonts w:asciiTheme="minorEastAsia" w:hAnsiTheme="minorEastAsia"/>
          <w:bCs/>
          <w:color w:val="000000" w:themeColor="text1"/>
          <w:lang w:val="es-ES"/>
        </w:rPr>
        <w:t xml:space="preserve">Ofrece una resolución excepcional, incluso con su apertura máxima de F1,4. Es especialmente eficaz cuando se utiliza a su distancia mínima de enfoque de 0,30 m, garantizando imágenes nítidas en cada toma. Además, el objetivo minimiza </w:t>
      </w:r>
      <w:r w:rsidR="000852E3">
        <w:rPr>
          <w:rFonts w:asciiTheme="minorEastAsia" w:hAnsiTheme="minorEastAsia"/>
          <w:bCs/>
          <w:color w:val="000000" w:themeColor="text1"/>
          <w:lang w:val="es-ES"/>
        </w:rPr>
        <w:t xml:space="preserve">el </w:t>
      </w:r>
      <w:r w:rsidR="000852E3" w:rsidRPr="00AB20CE">
        <w:rPr>
          <w:rFonts w:asciiTheme="minorEastAsia" w:hAnsiTheme="minorEastAsia"/>
          <w:bCs/>
          <w:i/>
          <w:iCs/>
          <w:color w:val="000000" w:themeColor="text1"/>
          <w:lang w:val="es-ES"/>
        </w:rPr>
        <w:t xml:space="preserve">Focus </w:t>
      </w:r>
      <w:proofErr w:type="spellStart"/>
      <w:r w:rsidR="00AB20CE" w:rsidRPr="00AB20CE">
        <w:rPr>
          <w:rFonts w:asciiTheme="minorEastAsia" w:hAnsiTheme="minorEastAsia"/>
          <w:bCs/>
          <w:i/>
          <w:iCs/>
          <w:color w:val="000000" w:themeColor="text1"/>
          <w:lang w:val="es-ES"/>
        </w:rPr>
        <w:t>Breathing</w:t>
      </w:r>
      <w:proofErr w:type="spellEnd"/>
      <w:r w:rsidRPr="00A22EED">
        <w:rPr>
          <w:rFonts w:asciiTheme="minorEastAsia" w:hAnsiTheme="minorEastAsia"/>
          <w:bCs/>
          <w:color w:val="000000" w:themeColor="text1"/>
          <w:lang w:val="es-ES"/>
        </w:rPr>
        <w:t>, garantizando resultados de alta calidad tanto en fotografía como en videografía.</w:t>
      </w:r>
    </w:p>
    <w:p w14:paraId="5D74E057" w14:textId="77777777" w:rsidR="00AB20CE" w:rsidRDefault="00A22EED" w:rsidP="00A22EED">
      <w:pPr>
        <w:spacing w:line="240" w:lineRule="auto"/>
        <w:rPr>
          <w:rFonts w:asciiTheme="minorEastAsia" w:hAnsiTheme="minorEastAsia"/>
          <w:bCs/>
          <w:color w:val="000000" w:themeColor="text1"/>
          <w:lang w:val="es-ES"/>
        </w:rPr>
      </w:pPr>
      <w:r w:rsidRPr="00A22EED">
        <w:rPr>
          <w:rFonts w:asciiTheme="minorEastAsia" w:hAnsiTheme="minorEastAsia"/>
          <w:b/>
          <w:color w:val="000000" w:themeColor="text1"/>
          <w:lang w:val="es-ES"/>
        </w:rPr>
        <w:t>Comodidad:</w:t>
      </w:r>
      <w:r w:rsidRPr="00A22EED">
        <w:rPr>
          <w:rFonts w:asciiTheme="minorEastAsia" w:hAnsiTheme="minorEastAsia"/>
          <w:bCs/>
          <w:color w:val="000000" w:themeColor="text1"/>
          <w:lang w:val="es-ES"/>
        </w:rPr>
        <w:t xml:space="preserve"> </w:t>
      </w:r>
    </w:p>
    <w:p w14:paraId="3B13BA55" w14:textId="54636497" w:rsidR="002C05D6" w:rsidRDefault="00AB20CE" w:rsidP="00A22EED">
      <w:pPr>
        <w:spacing w:line="240" w:lineRule="auto"/>
        <w:rPr>
          <w:rFonts w:asciiTheme="minorEastAsia" w:hAnsiTheme="minorEastAsia"/>
          <w:bCs/>
          <w:color w:val="000000" w:themeColor="text1"/>
          <w:lang w:val="es-ES"/>
        </w:rPr>
      </w:pPr>
      <w:r>
        <w:rPr>
          <w:rFonts w:asciiTheme="minorEastAsia" w:hAnsiTheme="minorEastAsia"/>
          <w:bCs/>
          <w:color w:val="000000" w:themeColor="text1"/>
          <w:lang w:val="es-ES"/>
        </w:rPr>
        <w:t>Este objetivo ha sido r</w:t>
      </w:r>
      <w:r w:rsidR="00A22EED" w:rsidRPr="00A22EED">
        <w:rPr>
          <w:rFonts w:asciiTheme="minorEastAsia" w:hAnsiTheme="minorEastAsia"/>
          <w:bCs/>
          <w:color w:val="000000" w:themeColor="text1"/>
          <w:lang w:val="es-ES"/>
        </w:rPr>
        <w:t>ediseñad</w:t>
      </w:r>
      <w:r>
        <w:rPr>
          <w:rFonts w:asciiTheme="minorEastAsia" w:hAnsiTheme="minorEastAsia"/>
          <w:bCs/>
          <w:color w:val="000000" w:themeColor="text1"/>
          <w:lang w:val="es-ES"/>
        </w:rPr>
        <w:t>o</w:t>
      </w:r>
      <w:r w:rsidR="00A22EED" w:rsidRPr="00A22EED">
        <w:rPr>
          <w:rFonts w:asciiTheme="minorEastAsia" w:hAnsiTheme="minorEastAsia"/>
          <w:bCs/>
          <w:color w:val="000000" w:themeColor="text1"/>
          <w:lang w:val="es-ES"/>
        </w:rPr>
        <w:t xml:space="preserve"> para mejorar la comodidad del usuario en diversos entornos. Equipado con un robusto sellado contra la intemperie y un intuitivo puerto USB para actualizaciones de firmware, ofrece facilidad de uso en cualquier condición. Su rendimiento de autoenfoque rápido </w:t>
      </w:r>
      <w:r w:rsidR="00A22EED" w:rsidRPr="00A22EED">
        <w:rPr>
          <w:rFonts w:asciiTheme="minorEastAsia" w:hAnsiTheme="minorEastAsia"/>
          <w:bCs/>
          <w:color w:val="000000" w:themeColor="text1"/>
          <w:lang w:val="es-ES"/>
        </w:rPr>
        <w:lastRenderedPageBreak/>
        <w:t xml:space="preserve">y </w:t>
      </w:r>
      <w:r w:rsidR="007C66C3" w:rsidRPr="00A22EED">
        <w:rPr>
          <w:rFonts w:asciiTheme="minorEastAsia" w:hAnsiTheme="minorEastAsia"/>
          <w:bCs/>
          <w:color w:val="000000" w:themeColor="text1"/>
          <w:lang w:val="es-ES"/>
        </w:rPr>
        <w:t>preciso</w:t>
      </w:r>
      <w:r w:rsidR="00A22EED" w:rsidRPr="00A22EED">
        <w:rPr>
          <w:rFonts w:asciiTheme="minorEastAsia" w:hAnsiTheme="minorEastAsia"/>
          <w:bCs/>
          <w:color w:val="000000" w:themeColor="text1"/>
          <w:lang w:val="es-ES"/>
        </w:rPr>
        <w:t xml:space="preserve"> garantiza unos resultados excepcionales de forma constante, lo que l</w:t>
      </w:r>
      <w:r w:rsidR="000805F5">
        <w:rPr>
          <w:rFonts w:asciiTheme="minorEastAsia" w:hAnsiTheme="minorEastAsia"/>
          <w:bCs/>
          <w:color w:val="000000" w:themeColor="text1"/>
          <w:lang w:val="es-ES"/>
        </w:rPr>
        <w:t>o</w:t>
      </w:r>
      <w:r w:rsidR="00A22EED" w:rsidRPr="00A22EED">
        <w:rPr>
          <w:rFonts w:asciiTheme="minorEastAsia" w:hAnsiTheme="minorEastAsia"/>
          <w:bCs/>
          <w:color w:val="000000" w:themeColor="text1"/>
          <w:lang w:val="es-ES"/>
        </w:rPr>
        <w:t xml:space="preserve"> convierte en una opción fiable para capturar imágenes de alta calidad en cualquier momento.</w:t>
      </w:r>
    </w:p>
    <w:p w14:paraId="2DC04607" w14:textId="42FFB413" w:rsidR="00BA4CD0" w:rsidRPr="002C05D6" w:rsidRDefault="00BA4CD0" w:rsidP="00695E83">
      <w:pPr>
        <w:spacing w:line="240" w:lineRule="auto"/>
        <w:rPr>
          <w:rFonts w:asciiTheme="minorEastAsia" w:hAnsiTheme="minorEastAsia"/>
          <w:bCs/>
          <w:color w:val="000000" w:themeColor="text1"/>
          <w:lang w:val="es-ES"/>
        </w:rPr>
      </w:pPr>
    </w:p>
    <w:p w14:paraId="2B1571A7" w14:textId="3D289630" w:rsidR="00AE7A48" w:rsidRDefault="00F6177B" w:rsidP="00F6177B">
      <w:pPr>
        <w:spacing w:before="200" w:after="120" w:line="240" w:lineRule="auto"/>
        <w:jc w:val="center"/>
        <w:rPr>
          <w:rFonts w:asciiTheme="minorEastAsia" w:hAnsiTheme="minorEastAsia"/>
          <w:szCs w:val="20"/>
          <w:lang w:val="es-ES"/>
        </w:rPr>
      </w:pPr>
      <w:r>
        <w:rPr>
          <w:noProof/>
        </w:rPr>
        <w:drawing>
          <wp:inline distT="0" distB="0" distL="0" distR="0" wp14:anchorId="46300193" wp14:editId="7D5D4036">
            <wp:extent cx="2476500" cy="2476500"/>
            <wp:effectExtent l="0" t="0" r="0" b="0"/>
            <wp:docPr id="687813215" name="Imagen 2" descr="Imagen de la pantalla de un celular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813215" name="Imagen 2" descr="Imagen de la pantalla de un celular&#10;&#10;Descripción generada automáticamente con confianza medi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18A62D" w14:textId="048913DD" w:rsidR="0041198D" w:rsidRPr="0043500C" w:rsidRDefault="0041198D" w:rsidP="0041198D">
      <w:pPr>
        <w:spacing w:before="200" w:after="120" w:line="240" w:lineRule="auto"/>
        <w:rPr>
          <w:rFonts w:asciiTheme="minorEastAsia" w:hAnsiTheme="minorEastAsia"/>
          <w:b/>
          <w:bCs/>
          <w:szCs w:val="20"/>
          <w:u w:val="single"/>
          <w:lang w:val="pt-PT"/>
        </w:rPr>
      </w:pPr>
      <w:r w:rsidRPr="0043500C">
        <w:rPr>
          <w:rFonts w:asciiTheme="minorEastAsia" w:hAnsiTheme="minorEastAsia"/>
          <w:b/>
          <w:bCs/>
          <w:szCs w:val="20"/>
          <w:u w:val="single"/>
          <w:lang w:val="pt-PT"/>
        </w:rPr>
        <w:t>Características principales</w:t>
      </w:r>
      <w:r w:rsidR="004E5FEB" w:rsidRPr="0043500C">
        <w:rPr>
          <w:rFonts w:asciiTheme="minorEastAsia" w:hAnsiTheme="minorEastAsia"/>
          <w:b/>
          <w:bCs/>
          <w:szCs w:val="20"/>
          <w:u w:val="single"/>
          <w:lang w:val="pt-PT"/>
        </w:rPr>
        <w:t xml:space="preserve"> AF 35mm F1.4 P FE</w:t>
      </w:r>
    </w:p>
    <w:p w14:paraId="36ABFC71" w14:textId="77777777" w:rsidR="0041198D" w:rsidRPr="0041198D" w:rsidRDefault="0041198D" w:rsidP="0041198D">
      <w:pPr>
        <w:spacing w:before="200" w:after="120" w:line="240" w:lineRule="auto"/>
        <w:rPr>
          <w:rFonts w:asciiTheme="minorEastAsia" w:hAnsiTheme="minorEastAsia"/>
          <w:szCs w:val="20"/>
          <w:u w:val="single"/>
          <w:lang w:val="es-ES"/>
        </w:rPr>
      </w:pPr>
      <w:r w:rsidRPr="0041198D">
        <w:rPr>
          <w:rFonts w:asciiTheme="minorEastAsia" w:hAnsiTheme="minorEastAsia"/>
          <w:szCs w:val="20"/>
          <w:u w:val="single"/>
          <w:lang w:val="es-ES"/>
        </w:rPr>
        <w:t>Portabilidad</w:t>
      </w:r>
    </w:p>
    <w:p w14:paraId="7F004AB2" w14:textId="483B28E9" w:rsidR="0041198D" w:rsidRPr="0041198D" w:rsidRDefault="00883D5D" w:rsidP="0041198D">
      <w:pPr>
        <w:spacing w:before="200" w:after="120" w:line="240" w:lineRule="auto"/>
        <w:rPr>
          <w:rFonts w:asciiTheme="minorEastAsia" w:hAnsiTheme="minorEastAsia"/>
          <w:b/>
          <w:bCs/>
          <w:szCs w:val="20"/>
          <w:lang w:val="es-ES"/>
        </w:rPr>
      </w:pPr>
      <w:r>
        <w:rPr>
          <w:rFonts w:asciiTheme="minorEastAsia" w:hAnsiTheme="minorEastAsia"/>
          <w:b/>
          <w:bCs/>
          <w:szCs w:val="20"/>
          <w:lang w:val="es-ES"/>
        </w:rPr>
        <w:t xml:space="preserve">Solo </w:t>
      </w:r>
      <w:r w:rsidR="0041198D" w:rsidRPr="0041198D">
        <w:rPr>
          <w:rFonts w:asciiTheme="minorEastAsia" w:hAnsiTheme="minorEastAsia"/>
          <w:b/>
          <w:bCs/>
          <w:szCs w:val="20"/>
          <w:lang w:val="es-ES"/>
        </w:rPr>
        <w:t>470 g</w:t>
      </w:r>
      <w:r>
        <w:rPr>
          <w:rFonts w:asciiTheme="minorEastAsia" w:hAnsiTheme="minorEastAsia"/>
          <w:b/>
          <w:bCs/>
          <w:szCs w:val="20"/>
          <w:lang w:val="es-ES"/>
        </w:rPr>
        <w:t xml:space="preserve"> de peso</w:t>
      </w:r>
    </w:p>
    <w:p w14:paraId="007746EA" w14:textId="13870097" w:rsidR="0041198D" w:rsidRPr="00AA4AA4" w:rsidRDefault="0041198D" w:rsidP="0041198D">
      <w:pPr>
        <w:spacing w:before="200" w:after="120" w:line="240" w:lineRule="auto"/>
        <w:rPr>
          <w:rFonts w:asciiTheme="minorEastAsia" w:hAnsiTheme="minorEastAsia"/>
          <w:szCs w:val="20"/>
          <w:lang w:val="es-ES"/>
        </w:rPr>
      </w:pPr>
      <w:r w:rsidRPr="0041198D">
        <w:rPr>
          <w:rFonts w:asciiTheme="minorEastAsia" w:hAnsiTheme="minorEastAsia"/>
          <w:szCs w:val="20"/>
          <w:lang w:val="es-ES"/>
        </w:rPr>
        <w:t xml:space="preserve">Con un tamaño reducido que cabe en una mano y un peso ligero de 470 g, combina a la perfección con cámaras compactas y ligeras como la Sony α7C II y la ZV-E1 y es fácil de llevar a cualquier parte en cualquier momento. A pesar de su gran portabilidad, no renuncia a un rendimiento y una practicidad excepcionales, lo que lo convierte en un objetivo ideal para los fotógrafos </w:t>
      </w:r>
      <w:r w:rsidR="00AA4AA4" w:rsidRPr="00AA4AA4">
        <w:rPr>
          <w:rFonts w:asciiTheme="minorEastAsia" w:hAnsiTheme="minorEastAsia"/>
          <w:szCs w:val="20"/>
          <w:lang w:val="es-ES"/>
        </w:rPr>
        <w:t>que desean un objetivo luminoso de F1.4 que se adapte a cualquier situación.</w:t>
      </w:r>
    </w:p>
    <w:p w14:paraId="7AE82837" w14:textId="77777777" w:rsidR="0041198D" w:rsidRPr="0041198D" w:rsidRDefault="0041198D" w:rsidP="0041198D">
      <w:pPr>
        <w:spacing w:before="200" w:after="120" w:line="240" w:lineRule="auto"/>
        <w:rPr>
          <w:rFonts w:asciiTheme="minorEastAsia" w:hAnsiTheme="minorEastAsia"/>
          <w:szCs w:val="20"/>
          <w:u w:val="single"/>
          <w:lang w:val="es-ES"/>
        </w:rPr>
      </w:pPr>
      <w:r w:rsidRPr="0041198D">
        <w:rPr>
          <w:rFonts w:asciiTheme="minorEastAsia" w:hAnsiTheme="minorEastAsia"/>
          <w:szCs w:val="20"/>
          <w:u w:val="single"/>
          <w:lang w:val="es-ES"/>
        </w:rPr>
        <w:t>Practicidad</w:t>
      </w:r>
    </w:p>
    <w:p w14:paraId="375BC270" w14:textId="77777777" w:rsidR="0041198D" w:rsidRPr="0041198D" w:rsidRDefault="0041198D" w:rsidP="0041198D">
      <w:pPr>
        <w:spacing w:before="200" w:after="120" w:line="240" w:lineRule="auto"/>
        <w:rPr>
          <w:rFonts w:asciiTheme="minorEastAsia" w:hAnsiTheme="minorEastAsia"/>
          <w:b/>
          <w:bCs/>
          <w:szCs w:val="20"/>
          <w:lang w:val="es-ES"/>
        </w:rPr>
      </w:pPr>
      <w:r w:rsidRPr="0041198D">
        <w:rPr>
          <w:rFonts w:asciiTheme="minorEastAsia" w:hAnsiTheme="minorEastAsia"/>
          <w:b/>
          <w:bCs/>
          <w:szCs w:val="20"/>
          <w:lang w:val="es-ES"/>
        </w:rPr>
        <w:t xml:space="preserve">Excelente resolución </w:t>
      </w:r>
    </w:p>
    <w:p w14:paraId="7F1466D3" w14:textId="3BDD6B19" w:rsidR="0041198D" w:rsidRDefault="0041198D" w:rsidP="0041198D">
      <w:pPr>
        <w:spacing w:before="200" w:after="120" w:line="240" w:lineRule="auto"/>
        <w:rPr>
          <w:rFonts w:asciiTheme="minorEastAsia" w:hAnsiTheme="minorEastAsia"/>
          <w:szCs w:val="20"/>
          <w:lang w:val="es-ES"/>
        </w:rPr>
      </w:pPr>
      <w:r w:rsidRPr="0041198D">
        <w:rPr>
          <w:rFonts w:asciiTheme="minorEastAsia" w:hAnsiTheme="minorEastAsia"/>
          <w:szCs w:val="20"/>
          <w:lang w:val="es-ES"/>
        </w:rPr>
        <w:t>El diseño óptico, que utiliza 5 elementos especiales (ASP 3, HR 1, ED 1) de 12 lentes en 10 grupos, proporciona una resolución excelente incluso con la apertura máxima de F1.4. Cuando se dispara a la distancia mínima de enfoque (0,30 m), el objetivo AF 35mm F1.4 P FE produce un contraste impresionante y una nitidez excepcional. Además, la avanzada tecnología de revestimiento de Samyang suprime los destellos y las imágenes fantasma y mantiene una claridad de imagen</w:t>
      </w:r>
      <w:r w:rsidR="00DD3B26">
        <w:rPr>
          <w:rFonts w:asciiTheme="minorEastAsia" w:hAnsiTheme="minorEastAsia"/>
          <w:szCs w:val="20"/>
          <w:lang w:val="es-ES"/>
        </w:rPr>
        <w:t xml:space="preserve"> que deja impresión</w:t>
      </w:r>
      <w:r w:rsidR="00575F88">
        <w:rPr>
          <w:rFonts w:asciiTheme="minorEastAsia" w:hAnsiTheme="minorEastAsia"/>
          <w:szCs w:val="20"/>
          <w:lang w:val="es-ES"/>
        </w:rPr>
        <w:t>.</w:t>
      </w:r>
    </w:p>
    <w:p w14:paraId="2D59529B" w14:textId="77777777" w:rsidR="00544E95" w:rsidRDefault="00544E95" w:rsidP="0041198D">
      <w:pPr>
        <w:spacing w:before="200" w:after="120" w:line="240" w:lineRule="auto"/>
        <w:rPr>
          <w:rFonts w:asciiTheme="minorEastAsia" w:hAnsiTheme="minorEastAsia"/>
          <w:szCs w:val="20"/>
          <w:lang w:val="es-ES"/>
        </w:rPr>
      </w:pPr>
    </w:p>
    <w:p w14:paraId="7ACF46B8" w14:textId="1D41FB8F" w:rsidR="00544E95" w:rsidRPr="00544E95" w:rsidRDefault="00544E95" w:rsidP="00544E95">
      <w:pPr>
        <w:spacing w:before="200" w:after="120" w:line="240" w:lineRule="auto"/>
        <w:rPr>
          <w:rFonts w:asciiTheme="minorEastAsia" w:hAnsiTheme="minorEastAsia"/>
          <w:b/>
          <w:bCs/>
          <w:szCs w:val="20"/>
          <w:lang w:val="es-ES"/>
        </w:rPr>
      </w:pPr>
      <w:r w:rsidRPr="00544E95">
        <w:rPr>
          <w:rFonts w:asciiTheme="minorEastAsia" w:hAnsiTheme="minorEastAsia"/>
          <w:b/>
          <w:bCs/>
          <w:szCs w:val="20"/>
          <w:lang w:val="es-ES"/>
        </w:rPr>
        <w:t>Supresión d</w:t>
      </w:r>
      <w:r w:rsidR="00575F88">
        <w:rPr>
          <w:rFonts w:asciiTheme="minorEastAsia" w:hAnsiTheme="minorEastAsia"/>
          <w:b/>
          <w:bCs/>
          <w:szCs w:val="20"/>
          <w:lang w:val="es-ES"/>
        </w:rPr>
        <w:t xml:space="preserve">el </w:t>
      </w:r>
      <w:r w:rsidR="00575F88" w:rsidRPr="00575F88">
        <w:rPr>
          <w:rFonts w:asciiTheme="minorEastAsia" w:hAnsiTheme="minorEastAsia"/>
          <w:b/>
          <w:bCs/>
          <w:i/>
          <w:iCs/>
          <w:szCs w:val="20"/>
          <w:lang w:val="es-ES"/>
        </w:rPr>
        <w:t xml:space="preserve">Focus </w:t>
      </w:r>
      <w:proofErr w:type="spellStart"/>
      <w:r w:rsidR="00575F88" w:rsidRPr="00575F88">
        <w:rPr>
          <w:rFonts w:asciiTheme="minorEastAsia" w:hAnsiTheme="minorEastAsia"/>
          <w:b/>
          <w:bCs/>
          <w:i/>
          <w:iCs/>
          <w:szCs w:val="20"/>
          <w:lang w:val="es-ES"/>
        </w:rPr>
        <w:t>Breathing</w:t>
      </w:r>
      <w:proofErr w:type="spellEnd"/>
      <w:r w:rsidR="00575F88">
        <w:rPr>
          <w:rFonts w:asciiTheme="minorEastAsia" w:hAnsiTheme="minorEastAsia"/>
          <w:b/>
          <w:bCs/>
          <w:szCs w:val="20"/>
          <w:lang w:val="es-ES"/>
        </w:rPr>
        <w:t xml:space="preserve"> </w:t>
      </w:r>
      <w:r w:rsidRPr="00544E95">
        <w:rPr>
          <w:rFonts w:asciiTheme="minorEastAsia" w:hAnsiTheme="minorEastAsia"/>
          <w:b/>
          <w:bCs/>
          <w:szCs w:val="20"/>
          <w:lang w:val="es-ES"/>
        </w:rPr>
        <w:t xml:space="preserve">de primera </w:t>
      </w:r>
    </w:p>
    <w:p w14:paraId="7CD8FEF2" w14:textId="35CE8248" w:rsidR="00544E95" w:rsidRPr="00544E95" w:rsidRDefault="00544E95" w:rsidP="00544E95">
      <w:pPr>
        <w:spacing w:before="200" w:after="120" w:line="240" w:lineRule="auto"/>
        <w:rPr>
          <w:rFonts w:asciiTheme="minorEastAsia" w:hAnsiTheme="minorEastAsia"/>
          <w:szCs w:val="20"/>
          <w:lang w:val="es-ES"/>
        </w:rPr>
      </w:pPr>
      <w:r w:rsidRPr="00544E95">
        <w:rPr>
          <w:rFonts w:asciiTheme="minorEastAsia" w:hAnsiTheme="minorEastAsia"/>
          <w:szCs w:val="20"/>
          <w:lang w:val="es-ES"/>
        </w:rPr>
        <w:lastRenderedPageBreak/>
        <w:t>El objetivo AF 35mm F1.4 P FE le permite grabar vídeo de forma estable gracias a la supresión d</w:t>
      </w:r>
      <w:r w:rsidR="000D6785">
        <w:rPr>
          <w:rFonts w:asciiTheme="minorEastAsia" w:hAnsiTheme="minorEastAsia"/>
          <w:szCs w:val="20"/>
          <w:lang w:val="es-ES"/>
        </w:rPr>
        <w:t xml:space="preserve">el </w:t>
      </w:r>
      <w:r w:rsidR="000D6785" w:rsidRPr="000D6785">
        <w:rPr>
          <w:rFonts w:asciiTheme="minorEastAsia" w:hAnsiTheme="minorEastAsia"/>
          <w:i/>
          <w:iCs/>
          <w:szCs w:val="20"/>
          <w:lang w:val="es-ES"/>
        </w:rPr>
        <w:t xml:space="preserve">Focus </w:t>
      </w:r>
      <w:proofErr w:type="spellStart"/>
      <w:r w:rsidR="000D6785" w:rsidRPr="000D6785">
        <w:rPr>
          <w:rFonts w:asciiTheme="minorEastAsia" w:hAnsiTheme="minorEastAsia"/>
          <w:i/>
          <w:iCs/>
          <w:szCs w:val="20"/>
          <w:lang w:val="es-ES"/>
        </w:rPr>
        <w:t>Breathing</w:t>
      </w:r>
      <w:proofErr w:type="spellEnd"/>
      <w:r w:rsidR="000D6785">
        <w:rPr>
          <w:rFonts w:asciiTheme="minorEastAsia" w:hAnsiTheme="minorEastAsia"/>
          <w:szCs w:val="20"/>
          <w:lang w:val="es-ES"/>
        </w:rPr>
        <w:t xml:space="preserve"> del</w:t>
      </w:r>
      <w:r w:rsidRPr="00544E95">
        <w:rPr>
          <w:rFonts w:asciiTheme="minorEastAsia" w:hAnsiTheme="minorEastAsia"/>
          <w:szCs w:val="20"/>
          <w:lang w:val="es-ES"/>
        </w:rPr>
        <w:t xml:space="preserve"> más alto nive</w:t>
      </w:r>
      <w:r w:rsidR="000D6785">
        <w:rPr>
          <w:rFonts w:asciiTheme="minorEastAsia" w:hAnsiTheme="minorEastAsia"/>
          <w:szCs w:val="20"/>
          <w:lang w:val="es-ES"/>
        </w:rPr>
        <w:t>l</w:t>
      </w:r>
      <w:r w:rsidRPr="00544E95">
        <w:rPr>
          <w:rFonts w:asciiTheme="minorEastAsia" w:hAnsiTheme="minorEastAsia"/>
          <w:szCs w:val="20"/>
          <w:lang w:val="es-ES"/>
        </w:rPr>
        <w:t>. Incluso cuando el enfoque cambia de cerca a infinito, los cambios de tamaño del sujeto se minimizan, lo que permite una producción de vídeo natural como la de un profesional.</w:t>
      </w:r>
    </w:p>
    <w:p w14:paraId="2BB97EBB" w14:textId="77777777" w:rsidR="00544E95" w:rsidRPr="00544E95" w:rsidRDefault="00544E95" w:rsidP="00544E95">
      <w:pPr>
        <w:spacing w:before="200" w:after="120" w:line="240" w:lineRule="auto"/>
        <w:rPr>
          <w:rFonts w:asciiTheme="minorEastAsia" w:hAnsiTheme="minorEastAsia"/>
          <w:szCs w:val="20"/>
          <w:lang w:val="es-ES"/>
        </w:rPr>
      </w:pPr>
    </w:p>
    <w:p w14:paraId="063F864E" w14:textId="77777777" w:rsidR="00544E95" w:rsidRPr="004B137F" w:rsidRDefault="00544E95" w:rsidP="00544E95">
      <w:pPr>
        <w:spacing w:before="200" w:after="120" w:line="240" w:lineRule="auto"/>
        <w:rPr>
          <w:rFonts w:asciiTheme="minorEastAsia" w:hAnsiTheme="minorEastAsia"/>
          <w:szCs w:val="20"/>
          <w:u w:val="single"/>
          <w:lang w:val="es-ES"/>
        </w:rPr>
      </w:pPr>
      <w:r w:rsidRPr="004B137F">
        <w:rPr>
          <w:rFonts w:asciiTheme="minorEastAsia" w:hAnsiTheme="minorEastAsia"/>
          <w:szCs w:val="20"/>
          <w:u w:val="single"/>
          <w:lang w:val="es-ES"/>
        </w:rPr>
        <w:t>Comodidad</w:t>
      </w:r>
    </w:p>
    <w:p w14:paraId="5C652941" w14:textId="473C27F1" w:rsidR="00544E95" w:rsidRPr="004B137F" w:rsidRDefault="00544E95" w:rsidP="00544E95">
      <w:pPr>
        <w:spacing w:before="200" w:after="120" w:line="240" w:lineRule="auto"/>
        <w:rPr>
          <w:rFonts w:asciiTheme="minorEastAsia" w:hAnsiTheme="minorEastAsia"/>
          <w:b/>
          <w:bCs/>
          <w:szCs w:val="20"/>
          <w:lang w:val="es-ES"/>
        </w:rPr>
      </w:pPr>
      <w:r w:rsidRPr="004B137F">
        <w:rPr>
          <w:rFonts w:asciiTheme="minorEastAsia" w:hAnsiTheme="minorEastAsia"/>
          <w:b/>
          <w:bCs/>
          <w:szCs w:val="20"/>
          <w:lang w:val="es-ES"/>
        </w:rPr>
        <w:t>Sofisticación y durabilidad redefinidas</w:t>
      </w:r>
      <w:r w:rsidR="004B137F">
        <w:rPr>
          <w:rFonts w:asciiTheme="minorEastAsia" w:hAnsiTheme="minorEastAsia"/>
          <w:b/>
          <w:bCs/>
          <w:szCs w:val="20"/>
          <w:lang w:val="es-ES"/>
        </w:rPr>
        <w:br/>
      </w:r>
      <w:r w:rsidRPr="004B137F">
        <w:rPr>
          <w:rFonts w:asciiTheme="minorEastAsia" w:hAnsiTheme="minorEastAsia"/>
          <w:b/>
          <w:bCs/>
          <w:szCs w:val="20"/>
          <w:lang w:val="es-ES"/>
        </w:rPr>
        <w:t>Diseño mejorado y sellado resistente a la intemperie</w:t>
      </w:r>
    </w:p>
    <w:p w14:paraId="2FEC934F" w14:textId="01CB551F" w:rsidR="00544E95" w:rsidRPr="00544E95" w:rsidRDefault="00544E95" w:rsidP="00544E95">
      <w:pPr>
        <w:spacing w:before="200" w:after="120" w:line="240" w:lineRule="auto"/>
        <w:rPr>
          <w:rFonts w:asciiTheme="minorEastAsia" w:hAnsiTheme="minorEastAsia"/>
          <w:szCs w:val="20"/>
          <w:lang w:val="es-ES"/>
        </w:rPr>
      </w:pPr>
      <w:r w:rsidRPr="00544E95">
        <w:rPr>
          <w:rFonts w:asciiTheme="minorEastAsia" w:hAnsiTheme="minorEastAsia"/>
          <w:szCs w:val="20"/>
          <w:lang w:val="es-ES"/>
        </w:rPr>
        <w:t>Meticulosamente rediseñad</w:t>
      </w:r>
      <w:r w:rsidR="003F0CFE">
        <w:rPr>
          <w:rFonts w:asciiTheme="minorEastAsia" w:hAnsiTheme="minorEastAsia"/>
          <w:szCs w:val="20"/>
          <w:lang w:val="es-ES"/>
        </w:rPr>
        <w:t>o</w:t>
      </w:r>
      <w:r w:rsidRPr="00544E95">
        <w:rPr>
          <w:rFonts w:asciiTheme="minorEastAsia" w:hAnsiTheme="minorEastAsia"/>
          <w:szCs w:val="20"/>
          <w:lang w:val="es-ES"/>
        </w:rPr>
        <w:t xml:space="preserve"> pensando en la experiencia del usuario. Incorpora un nuevo anillo de enfoque de goma con </w:t>
      </w:r>
      <w:proofErr w:type="spellStart"/>
      <w:r w:rsidRPr="00544E95">
        <w:rPr>
          <w:rFonts w:asciiTheme="minorEastAsia" w:hAnsiTheme="minorEastAsia"/>
          <w:szCs w:val="20"/>
          <w:lang w:val="es-ES"/>
        </w:rPr>
        <w:t>micropatrones</w:t>
      </w:r>
      <w:proofErr w:type="spellEnd"/>
      <w:r w:rsidRPr="00544E95">
        <w:rPr>
          <w:rFonts w:asciiTheme="minorEastAsia" w:hAnsiTheme="minorEastAsia"/>
          <w:szCs w:val="20"/>
          <w:lang w:val="es-ES"/>
        </w:rPr>
        <w:t xml:space="preserve"> para una mayor facilidad de uso, mientras que su acabado mate y el sutil anillo rojo oculto</w:t>
      </w:r>
      <w:r w:rsidR="00011AB3">
        <w:rPr>
          <w:rFonts w:asciiTheme="minorEastAsia" w:hAnsiTheme="minorEastAsia"/>
          <w:szCs w:val="20"/>
          <w:lang w:val="es-ES"/>
        </w:rPr>
        <w:t xml:space="preserve">, </w:t>
      </w:r>
      <w:r w:rsidRPr="00544E95">
        <w:rPr>
          <w:rFonts w:asciiTheme="minorEastAsia" w:hAnsiTheme="minorEastAsia"/>
          <w:szCs w:val="20"/>
          <w:lang w:val="es-ES"/>
        </w:rPr>
        <w:t>realzan su atractivo estético. Diseñado para durar, el objetivo está sellado contra la intemperie en cinco puntos críticos para protegerlo de las gotas de agua, la lluvia ligera, la nieve y el polvo. Esto hace que sea excepcionalmente fiable para disparar en diversas condiciones.</w:t>
      </w:r>
    </w:p>
    <w:p w14:paraId="0ED4109C" w14:textId="1507D210" w:rsidR="00544E95" w:rsidRPr="004B137F" w:rsidRDefault="00544E95" w:rsidP="00544E95">
      <w:pPr>
        <w:spacing w:before="200" w:after="120" w:line="240" w:lineRule="auto"/>
        <w:rPr>
          <w:rFonts w:asciiTheme="minorEastAsia" w:hAnsiTheme="minorEastAsia"/>
          <w:b/>
          <w:bCs/>
          <w:szCs w:val="20"/>
          <w:lang w:val="es-ES"/>
        </w:rPr>
      </w:pPr>
      <w:r w:rsidRPr="004B137F">
        <w:rPr>
          <w:rFonts w:asciiTheme="minorEastAsia" w:hAnsiTheme="minorEastAsia"/>
          <w:b/>
          <w:bCs/>
          <w:szCs w:val="20"/>
          <w:lang w:val="es-ES"/>
        </w:rPr>
        <w:t>Mantenga un rendimiento óptimo</w:t>
      </w:r>
      <w:r w:rsidR="004B137F">
        <w:rPr>
          <w:rFonts w:asciiTheme="minorEastAsia" w:hAnsiTheme="minorEastAsia"/>
          <w:b/>
          <w:bCs/>
          <w:szCs w:val="20"/>
          <w:lang w:val="es-ES"/>
        </w:rPr>
        <w:br/>
      </w:r>
      <w:r w:rsidRPr="004B137F">
        <w:rPr>
          <w:rFonts w:asciiTheme="minorEastAsia" w:hAnsiTheme="minorEastAsia"/>
          <w:b/>
          <w:bCs/>
          <w:szCs w:val="20"/>
          <w:lang w:val="es-ES"/>
        </w:rPr>
        <w:t>Actualizaciones de firmware y ajustes sencillos con puerto USB</w:t>
      </w:r>
    </w:p>
    <w:p w14:paraId="0B55BA8D" w14:textId="56A22201" w:rsidR="00544E95" w:rsidRDefault="00544E95" w:rsidP="00544E95">
      <w:pPr>
        <w:spacing w:before="200" w:after="120" w:line="240" w:lineRule="auto"/>
        <w:rPr>
          <w:rFonts w:asciiTheme="minorEastAsia" w:hAnsiTheme="minorEastAsia"/>
          <w:szCs w:val="20"/>
          <w:lang w:val="es-ES"/>
        </w:rPr>
      </w:pPr>
      <w:r w:rsidRPr="00544E95">
        <w:rPr>
          <w:rFonts w:asciiTheme="minorEastAsia" w:hAnsiTheme="minorEastAsia"/>
          <w:szCs w:val="20"/>
          <w:lang w:val="es-ES"/>
        </w:rPr>
        <w:t>Equipado con un puerto USB, que permite actualizar el firmware directamente a través de un cable, sin necesidad de una «</w:t>
      </w:r>
      <w:r w:rsidR="00011AB3">
        <w:rPr>
          <w:rFonts w:asciiTheme="minorEastAsia" w:hAnsiTheme="minorEastAsia"/>
          <w:szCs w:val="20"/>
          <w:lang w:val="es-ES"/>
        </w:rPr>
        <w:t xml:space="preserve">Lens </w:t>
      </w:r>
      <w:proofErr w:type="spellStart"/>
      <w:r w:rsidR="00011AB3">
        <w:rPr>
          <w:rFonts w:asciiTheme="minorEastAsia" w:hAnsiTheme="minorEastAsia"/>
          <w:szCs w:val="20"/>
          <w:lang w:val="es-ES"/>
        </w:rPr>
        <w:t>Station</w:t>
      </w:r>
      <w:proofErr w:type="spellEnd"/>
      <w:r w:rsidRPr="00544E95">
        <w:rPr>
          <w:rFonts w:asciiTheme="minorEastAsia" w:hAnsiTheme="minorEastAsia"/>
          <w:szCs w:val="20"/>
          <w:lang w:val="es-ES"/>
        </w:rPr>
        <w:t>» independiente. Esta mejora simplifica el proceso, permitiéndole actualizar fácilmente el firmware y ajustar la sensibilidad AF y MF en cualquier momento y lugar. Esta característica no sólo mejora la facilidad de uso, sino que también garantiza que su objetivo se mantenga actualizado con las últimas mejoras sin esfuerzo.</w:t>
      </w:r>
    </w:p>
    <w:p w14:paraId="5AE4DD2E" w14:textId="40566F64" w:rsidR="00CB33B5" w:rsidRPr="00CB33B5" w:rsidRDefault="00CB33B5" w:rsidP="00CB33B5">
      <w:pPr>
        <w:spacing w:before="200" w:after="120" w:line="240" w:lineRule="auto"/>
        <w:rPr>
          <w:rFonts w:asciiTheme="minorEastAsia" w:hAnsiTheme="minorEastAsia"/>
          <w:b/>
          <w:bCs/>
          <w:szCs w:val="20"/>
          <w:lang w:val="es-ES"/>
        </w:rPr>
      </w:pPr>
      <w:r w:rsidRPr="00CB33B5">
        <w:rPr>
          <w:rFonts w:asciiTheme="minorEastAsia" w:hAnsiTheme="minorEastAsia"/>
          <w:b/>
          <w:bCs/>
          <w:szCs w:val="20"/>
          <w:lang w:val="es-ES"/>
        </w:rPr>
        <w:t>Enfoque automático preciso para cada disparo</w:t>
      </w:r>
      <w:r>
        <w:rPr>
          <w:rFonts w:asciiTheme="minorEastAsia" w:hAnsiTheme="minorEastAsia"/>
          <w:b/>
          <w:bCs/>
          <w:szCs w:val="20"/>
          <w:lang w:val="es-ES"/>
        </w:rPr>
        <w:br/>
      </w:r>
      <w:r w:rsidRPr="00CB33B5">
        <w:rPr>
          <w:rFonts w:asciiTheme="minorEastAsia" w:hAnsiTheme="minorEastAsia"/>
          <w:b/>
          <w:bCs/>
          <w:szCs w:val="20"/>
          <w:lang w:val="es-ES"/>
        </w:rPr>
        <w:t>Rendimiento AF-C rápido y preciso</w:t>
      </w:r>
    </w:p>
    <w:p w14:paraId="7381E793" w14:textId="1906133E" w:rsidR="00544E95" w:rsidRDefault="00CB33B5" w:rsidP="00CB33B5">
      <w:pPr>
        <w:spacing w:before="200" w:after="120" w:line="240" w:lineRule="auto"/>
        <w:rPr>
          <w:rFonts w:asciiTheme="minorEastAsia" w:hAnsiTheme="minorEastAsia"/>
          <w:szCs w:val="20"/>
          <w:lang w:val="es-ES"/>
        </w:rPr>
      </w:pPr>
      <w:r w:rsidRPr="00CB33B5">
        <w:rPr>
          <w:rFonts w:asciiTheme="minorEastAsia" w:hAnsiTheme="minorEastAsia"/>
          <w:szCs w:val="20"/>
          <w:lang w:val="es-ES"/>
        </w:rPr>
        <w:t>Experimenta un rendimiento de enfoque automático rápido y preciso con el AF 35mm F1.4 P FE. Con la tecnología STM lineal (motor paso a paso) de SAMYANG, este objetivo maneja de forma rápida y silenciosa grandes grupos de enfoque con una precisión excepcional. Capture impresionantes retratos, vibrantes escenas callejeras y detalladas fotos de viajes en cualquier condición. Perfecto para obtener imágenes de alta calidad de forma constante.</w:t>
      </w:r>
    </w:p>
    <w:p w14:paraId="09C483C3" w14:textId="77777777" w:rsidR="0041198D" w:rsidRDefault="0041198D" w:rsidP="00806097">
      <w:pPr>
        <w:spacing w:before="200" w:after="120" w:line="240" w:lineRule="auto"/>
        <w:rPr>
          <w:rFonts w:asciiTheme="minorEastAsia" w:hAnsiTheme="minorEastAsia"/>
          <w:szCs w:val="20"/>
          <w:lang w:val="es-ES"/>
        </w:rPr>
      </w:pPr>
    </w:p>
    <w:p w14:paraId="20F475B7" w14:textId="77777777" w:rsidR="00F6177B" w:rsidRDefault="00F6177B" w:rsidP="00806097">
      <w:pPr>
        <w:spacing w:before="200" w:after="120" w:line="240" w:lineRule="auto"/>
        <w:rPr>
          <w:rFonts w:asciiTheme="minorEastAsia" w:hAnsiTheme="minorEastAsia"/>
          <w:szCs w:val="20"/>
          <w:lang w:val="es-ES"/>
        </w:rPr>
      </w:pPr>
    </w:p>
    <w:p w14:paraId="155BC9E6" w14:textId="77777777" w:rsidR="00F6177B" w:rsidRDefault="00F6177B" w:rsidP="00806097">
      <w:pPr>
        <w:spacing w:before="200" w:after="120" w:line="240" w:lineRule="auto"/>
        <w:rPr>
          <w:rFonts w:asciiTheme="minorEastAsia" w:hAnsiTheme="minorEastAsia"/>
          <w:szCs w:val="20"/>
          <w:lang w:val="es-ES"/>
        </w:rPr>
      </w:pPr>
    </w:p>
    <w:p w14:paraId="2DEABCC8" w14:textId="77777777" w:rsidR="0041198D" w:rsidRDefault="0041198D" w:rsidP="00806097">
      <w:pPr>
        <w:spacing w:before="200" w:after="120" w:line="240" w:lineRule="auto"/>
        <w:rPr>
          <w:rFonts w:asciiTheme="minorEastAsia" w:hAnsiTheme="minorEastAsia"/>
          <w:szCs w:val="20"/>
          <w:lang w:val="es-ES"/>
        </w:rPr>
      </w:pPr>
    </w:p>
    <w:p w14:paraId="68C1FA63" w14:textId="77777777" w:rsidR="00AE7A48" w:rsidRPr="00C662A7" w:rsidRDefault="00AE7A48" w:rsidP="00AE7A48">
      <w:pPr>
        <w:spacing w:before="200" w:after="120" w:line="240" w:lineRule="auto"/>
        <w:rPr>
          <w:rFonts w:asciiTheme="majorHAnsi" w:eastAsiaTheme="majorHAnsi" w:hAnsiTheme="majorHAnsi"/>
          <w:b/>
          <w:szCs w:val="20"/>
          <w:lang w:val="es-ES"/>
        </w:rPr>
      </w:pPr>
      <w:r w:rsidRPr="00C662A7">
        <w:rPr>
          <w:b/>
          <w:lang w:val="es-ES"/>
        </w:rPr>
        <w:lastRenderedPageBreak/>
        <w:t>Imágenes del producto</w:t>
      </w:r>
    </w:p>
    <w:p w14:paraId="6FBAB516" w14:textId="631F02A4" w:rsidR="00AE7A48" w:rsidRDefault="00A302B5" w:rsidP="00806097">
      <w:pPr>
        <w:spacing w:before="200" w:after="120" w:line="240" w:lineRule="auto"/>
        <w:rPr>
          <w:rFonts w:asciiTheme="minorEastAsia" w:hAnsiTheme="minorEastAsia"/>
          <w:szCs w:val="20"/>
          <w:lang w:val="es-ES"/>
        </w:rPr>
      </w:pPr>
      <w:r w:rsidRPr="005C709C">
        <w:rPr>
          <w:rFonts w:asciiTheme="majorHAnsi" w:eastAsiaTheme="majorHAnsi" w:hAnsiTheme="majorHAnsi"/>
          <w:b/>
          <w:noProof/>
          <w:szCs w:val="20"/>
        </w:rPr>
        <w:drawing>
          <wp:inline distT="0" distB="0" distL="0" distR="0" wp14:anchorId="2759E36E" wp14:editId="290D3F3A">
            <wp:extent cx="1585903" cy="2252863"/>
            <wp:effectExtent l="0" t="0" r="0" b="0"/>
            <wp:docPr id="6" name="그림 6" descr="Imagen en blanco y negr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그림 6" descr="Imagen en blanco y negro&#10;&#10;Descripción generada automáticamente con confianza medi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5903" cy="2252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34983" w:rsidRPr="005C709C">
        <w:rPr>
          <w:rFonts w:asciiTheme="majorHAnsi" w:eastAsiaTheme="majorHAnsi" w:hAnsiTheme="majorHAnsi"/>
          <w:b/>
          <w:noProof/>
          <w:szCs w:val="20"/>
        </w:rPr>
        <w:drawing>
          <wp:inline distT="0" distB="0" distL="0" distR="0" wp14:anchorId="0740B50C" wp14:editId="631DBE7A">
            <wp:extent cx="1600329" cy="2273354"/>
            <wp:effectExtent l="0" t="0" r="0" b="0"/>
            <wp:docPr id="9" name="그림 9" descr="Imagen en blanco y negr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그림 9" descr="Imagen en blanco y negro&#10;&#10;Descripción generada automáticamente con confianza media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3458" cy="229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72A1" w:rsidRPr="005C709C">
        <w:rPr>
          <w:noProof/>
        </w:rPr>
        <w:drawing>
          <wp:inline distT="0" distB="0" distL="0" distR="0" wp14:anchorId="37B53E7F" wp14:editId="0F0DF823">
            <wp:extent cx="2027124" cy="1872838"/>
            <wp:effectExtent l="0" t="0" r="0" b="0"/>
            <wp:docPr id="13" name="그림 13" descr="Imagen en blanco y negr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그림 13" descr="Imagen en blanco y negro&#10;&#10;Descripción generada automáticament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9209" cy="1884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991AB" w14:textId="2BBFD427" w:rsidR="00B96F3E" w:rsidRPr="00AE7A48" w:rsidRDefault="00B96F3E" w:rsidP="00AE7A48">
      <w:pPr>
        <w:spacing w:before="200" w:after="120" w:line="240" w:lineRule="auto"/>
        <w:rPr>
          <w:rFonts w:asciiTheme="minorEastAsia" w:hAnsiTheme="minorEastAsia"/>
          <w:szCs w:val="20"/>
          <w:lang w:val="es-ES"/>
        </w:rPr>
      </w:pPr>
    </w:p>
    <w:p w14:paraId="4AC991AD" w14:textId="18360771" w:rsidR="00B96F3E" w:rsidRDefault="001C6E29" w:rsidP="00B96F3E">
      <w:pPr>
        <w:rPr>
          <w:rFonts w:ascii="Malgun Gothic" w:eastAsia="Malgun Gothic" w:hAnsi="Malgun Gothic"/>
          <w:b/>
          <w:color w:val="000000"/>
          <w:szCs w:val="20"/>
          <w:lang w:val="es-ES"/>
        </w:rPr>
      </w:pPr>
      <w:r w:rsidRPr="005C709C">
        <w:rPr>
          <w:rFonts w:asciiTheme="majorHAnsi" w:eastAsiaTheme="majorHAnsi" w:hAnsiTheme="majorHAnsi"/>
          <w:b/>
          <w:noProof/>
          <w:szCs w:val="20"/>
        </w:rPr>
        <w:drawing>
          <wp:inline distT="0" distB="0" distL="0" distR="0" wp14:anchorId="67C862C0" wp14:editId="0FA45330">
            <wp:extent cx="1513338" cy="2171859"/>
            <wp:effectExtent l="0" t="0" r="0" b="0"/>
            <wp:docPr id="10" name="그림 10" descr="Imagen en blanco y negr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그림 10" descr="Imagen en blanco y negro&#10;&#10;Descripción generada automáticamente con confianza media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3338" cy="217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1F8A" w:rsidRPr="005C709C">
        <w:rPr>
          <w:rFonts w:asciiTheme="majorHAnsi" w:eastAsiaTheme="majorHAnsi" w:hAnsiTheme="majorHAnsi"/>
          <w:b/>
          <w:noProof/>
          <w:szCs w:val="20"/>
        </w:rPr>
        <w:drawing>
          <wp:inline distT="0" distB="0" distL="0" distR="0" wp14:anchorId="6BC83804" wp14:editId="41F84639">
            <wp:extent cx="1986511" cy="1960761"/>
            <wp:effectExtent l="0" t="0" r="0" b="0"/>
            <wp:docPr id="11" name="그림 11" descr="Foto en blanco y negro de una cámar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그림 11" descr="Foto en blanco y negro de una cámara&#10;&#10;Descripción generada automáticamente con confianza media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572" cy="19736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A75224" w14:textId="77777777" w:rsidR="00ED4D28" w:rsidRDefault="00ED4D28" w:rsidP="00B96F3E">
      <w:pPr>
        <w:rPr>
          <w:rFonts w:ascii="Malgun Gothic" w:eastAsia="Malgun Gothic" w:hAnsi="Malgun Gothic"/>
          <w:b/>
          <w:color w:val="000000"/>
          <w:szCs w:val="20"/>
          <w:lang w:val="es-ES"/>
        </w:rPr>
      </w:pPr>
    </w:p>
    <w:p w14:paraId="666479C7" w14:textId="77777777" w:rsidR="00ED4D28" w:rsidRDefault="00ED4D28" w:rsidP="00B96F3E">
      <w:pPr>
        <w:rPr>
          <w:rFonts w:ascii="Malgun Gothic" w:eastAsia="Malgun Gothic" w:hAnsi="Malgun Gothic"/>
          <w:b/>
          <w:color w:val="000000"/>
          <w:szCs w:val="20"/>
          <w:lang w:val="es-ES"/>
        </w:rPr>
      </w:pPr>
    </w:p>
    <w:p w14:paraId="2D125052" w14:textId="77777777" w:rsidR="00ED4D28" w:rsidRDefault="00ED4D28" w:rsidP="00B96F3E">
      <w:pPr>
        <w:rPr>
          <w:rFonts w:ascii="Malgun Gothic" w:eastAsia="Malgun Gothic" w:hAnsi="Malgun Gothic"/>
          <w:b/>
          <w:color w:val="000000"/>
          <w:szCs w:val="20"/>
          <w:lang w:val="es-ES"/>
        </w:rPr>
      </w:pPr>
    </w:p>
    <w:p w14:paraId="44517709" w14:textId="77777777" w:rsidR="00ED4D28" w:rsidRDefault="00ED4D28" w:rsidP="00B96F3E">
      <w:pPr>
        <w:rPr>
          <w:rFonts w:ascii="Malgun Gothic" w:eastAsia="Malgun Gothic" w:hAnsi="Malgun Gothic"/>
          <w:b/>
          <w:color w:val="000000"/>
          <w:szCs w:val="20"/>
          <w:lang w:val="es-ES"/>
        </w:rPr>
      </w:pPr>
    </w:p>
    <w:p w14:paraId="1B7AA6E8" w14:textId="77777777" w:rsidR="00ED4D28" w:rsidRDefault="00ED4D28" w:rsidP="00B96F3E">
      <w:pPr>
        <w:rPr>
          <w:rFonts w:ascii="Malgun Gothic" w:eastAsia="Malgun Gothic" w:hAnsi="Malgun Gothic"/>
          <w:b/>
          <w:color w:val="000000"/>
          <w:szCs w:val="20"/>
          <w:lang w:val="es-ES"/>
        </w:rPr>
      </w:pPr>
    </w:p>
    <w:p w14:paraId="0FF3BB9B" w14:textId="77777777" w:rsidR="00DB3C1A" w:rsidRDefault="00DB3C1A" w:rsidP="00B96F3E">
      <w:pPr>
        <w:rPr>
          <w:rFonts w:ascii="Malgun Gothic" w:eastAsia="Malgun Gothic" w:hAnsi="Malgun Gothic"/>
          <w:b/>
          <w:color w:val="000000"/>
          <w:szCs w:val="20"/>
          <w:lang w:val="es-ES"/>
        </w:rPr>
      </w:pPr>
    </w:p>
    <w:p w14:paraId="4BCC9A6B" w14:textId="77777777" w:rsidR="00DB3C1A" w:rsidRDefault="00DB3C1A" w:rsidP="00B96F3E">
      <w:pPr>
        <w:rPr>
          <w:rFonts w:ascii="Malgun Gothic" w:eastAsia="Malgun Gothic" w:hAnsi="Malgun Gothic"/>
          <w:b/>
          <w:color w:val="000000"/>
          <w:szCs w:val="20"/>
          <w:lang w:val="es-ES"/>
        </w:rPr>
      </w:pPr>
    </w:p>
    <w:p w14:paraId="38889943" w14:textId="77777777" w:rsidR="00DB3C1A" w:rsidRDefault="00DB3C1A" w:rsidP="00B96F3E">
      <w:pPr>
        <w:rPr>
          <w:rFonts w:ascii="Malgun Gothic" w:eastAsia="Malgun Gothic" w:hAnsi="Malgun Gothic"/>
          <w:b/>
          <w:color w:val="000000"/>
          <w:szCs w:val="20"/>
          <w:lang w:val="es-ES"/>
        </w:rPr>
      </w:pPr>
    </w:p>
    <w:p w14:paraId="3775504C" w14:textId="77777777" w:rsidR="00DB3C1A" w:rsidRDefault="00DB3C1A" w:rsidP="00B96F3E">
      <w:pPr>
        <w:rPr>
          <w:rFonts w:ascii="Malgun Gothic" w:eastAsia="Malgun Gothic" w:hAnsi="Malgun Gothic"/>
          <w:b/>
          <w:color w:val="000000"/>
          <w:szCs w:val="20"/>
          <w:lang w:val="es-ES"/>
        </w:rPr>
      </w:pPr>
    </w:p>
    <w:p w14:paraId="05BD9DAC" w14:textId="77777777" w:rsidR="00ED4D28" w:rsidRDefault="00ED4D28" w:rsidP="00B96F3E">
      <w:pPr>
        <w:rPr>
          <w:rFonts w:ascii="Malgun Gothic" w:eastAsia="Malgun Gothic" w:hAnsi="Malgun Gothic"/>
          <w:b/>
          <w:color w:val="000000"/>
          <w:szCs w:val="20"/>
          <w:lang w:val="es-ES"/>
        </w:rPr>
      </w:pPr>
    </w:p>
    <w:p w14:paraId="726CFEBC" w14:textId="4B61E5E7" w:rsidR="00031F8A" w:rsidRDefault="00857918" w:rsidP="00B96F3E">
      <w:pPr>
        <w:rPr>
          <w:rFonts w:ascii="Malgun Gothic" w:eastAsia="Malgun Gothic" w:hAnsi="Malgun Gothic"/>
          <w:b/>
          <w:color w:val="000000"/>
          <w:szCs w:val="20"/>
          <w:lang w:val="es-ES"/>
        </w:rPr>
      </w:pPr>
      <w:r w:rsidRPr="00857918">
        <w:rPr>
          <w:rFonts w:ascii="Malgun Gothic" w:eastAsia="Malgun Gothic" w:hAnsi="Malgun Gothic"/>
          <w:b/>
          <w:color w:val="000000"/>
          <w:szCs w:val="20"/>
          <w:lang w:val="es-ES"/>
        </w:rPr>
        <w:lastRenderedPageBreak/>
        <w:t>Construcción óptica</w:t>
      </w:r>
    </w:p>
    <w:p w14:paraId="136BE6D4" w14:textId="2D830C1D" w:rsidR="00FF7169" w:rsidRPr="00A302B5" w:rsidRDefault="00FF7169" w:rsidP="00B96F3E">
      <w:pPr>
        <w:rPr>
          <w:rFonts w:ascii="Malgun Gothic" w:eastAsia="Malgun Gothic" w:hAnsi="Malgun Gothic"/>
          <w:b/>
          <w:color w:val="000000"/>
          <w:szCs w:val="20"/>
          <w:lang w:val="es-ES"/>
        </w:rPr>
      </w:pPr>
      <w:r>
        <w:rPr>
          <w:rFonts w:ascii="Malgun Gothic" w:eastAsia="Malgun Gothic" w:hAnsi="Malgun Gothic"/>
          <w:b/>
          <w:noProof/>
          <w:color w:val="000000"/>
          <w:szCs w:val="20"/>
        </w:rPr>
        <w:drawing>
          <wp:inline distT="0" distB="0" distL="0" distR="0" wp14:anchorId="177477C0" wp14:editId="560719A3">
            <wp:extent cx="2735447" cy="2828925"/>
            <wp:effectExtent l="0" t="0" r="8255" b="0"/>
            <wp:docPr id="2" name="그림 2" descr="Imagen que contiene 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2" descr="Imagen que contiene Logotipo&#10;&#10;Descripción generada automáticamente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451" cy="28434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C991AF" w14:textId="01E17788" w:rsidR="00E67077" w:rsidRPr="00B50352" w:rsidRDefault="00C662A7" w:rsidP="00E521DE">
      <w:pPr>
        <w:spacing w:before="200" w:after="120" w:line="240" w:lineRule="auto"/>
        <w:rPr>
          <w:b/>
          <w:lang w:val="es-ES"/>
        </w:rPr>
      </w:pPr>
      <w:r w:rsidRPr="00B50352">
        <w:rPr>
          <w:b/>
          <w:lang w:val="es-ES"/>
        </w:rPr>
        <w:t>Especificaciones</w:t>
      </w:r>
      <w:r w:rsidR="00B50352" w:rsidRPr="00B50352">
        <w:rPr>
          <w:b/>
          <w:lang w:val="es-ES"/>
        </w:rPr>
        <w:t xml:space="preserve"> técnicas</w:t>
      </w:r>
    </w:p>
    <w:tbl>
      <w:tblPr>
        <w:tblW w:w="892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96"/>
        <w:gridCol w:w="1724"/>
        <w:gridCol w:w="5506"/>
      </w:tblGrid>
      <w:tr w:rsidR="009F4102" w:rsidRPr="00E67077" w14:paraId="0E85C597" w14:textId="77777777" w:rsidTr="009F4102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C88976F" w14:textId="5DBE5BA5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</w:pPr>
            <w:r w:rsidRPr="00B50352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  <w:lang w:val="es-ES"/>
              </w:rPr>
              <w:t>Nombre del modelo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4F2661E1" w14:textId="77777777" w:rsidR="009F4102" w:rsidRPr="00CA52DA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kern w:val="0"/>
                <w:sz w:val="18"/>
                <w:szCs w:val="20"/>
              </w:rPr>
            </w:pPr>
            <w:r w:rsidRPr="00CA52DA">
              <w:rPr>
                <w:rFonts w:ascii="Malgun Gothic" w:eastAsia="Malgun Gothic" w:hAnsi="Malgun Gothic" w:cs="Gulim"/>
                <w:b/>
                <w:bCs/>
                <w:kern w:val="0"/>
                <w:sz w:val="18"/>
                <w:szCs w:val="20"/>
              </w:rPr>
              <w:t>AF 35mm F1.4 P FE</w:t>
            </w:r>
          </w:p>
        </w:tc>
      </w:tr>
      <w:tr w:rsidR="009F4102" w:rsidRPr="00E67077" w14:paraId="50644C28" w14:textId="77777777" w:rsidTr="009F4102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CF9E4F5" w14:textId="43D67936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</w:pPr>
            <w:r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  <w:lang w:val="es-ES"/>
              </w:rPr>
              <w:t xml:space="preserve">  Rango de Apertura 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D16032" w14:textId="77777777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kern w:val="0"/>
                <w:sz w:val="18"/>
                <w:szCs w:val="20"/>
              </w:rPr>
            </w:pPr>
            <w:r w:rsidRPr="00E67077">
              <w:rPr>
                <w:rFonts w:ascii="Malgun Gothic" w:eastAsia="Malgun Gothic" w:hAnsi="Malgun Gothic" w:cs="Gulim" w:hint="eastAsia"/>
                <w:color w:val="000000"/>
                <w:kern w:val="0"/>
                <w:sz w:val="18"/>
                <w:szCs w:val="20"/>
              </w:rPr>
              <w:t>F</w:t>
            </w:r>
            <w:r>
              <w:rPr>
                <w:rFonts w:ascii="Malgun Gothic" w:eastAsia="Malgun Gothic" w:hAnsi="Malgun Gothic" w:cs="Gulim"/>
                <w:color w:val="000000"/>
                <w:kern w:val="0"/>
                <w:sz w:val="18"/>
                <w:szCs w:val="20"/>
              </w:rPr>
              <w:t>1.4</w:t>
            </w:r>
            <w:r w:rsidRPr="00E67077">
              <w:rPr>
                <w:rFonts w:ascii="Malgun Gothic" w:eastAsia="Malgun Gothic" w:hAnsi="Malgun Gothic" w:cs="Gulim" w:hint="eastAsia"/>
                <w:color w:val="000000"/>
                <w:kern w:val="0"/>
                <w:sz w:val="18"/>
                <w:szCs w:val="20"/>
              </w:rPr>
              <w:t xml:space="preserve"> ~ F16</w:t>
            </w:r>
          </w:p>
        </w:tc>
      </w:tr>
      <w:tr w:rsidR="009F4102" w:rsidRPr="00E67077" w14:paraId="2450BCC7" w14:textId="77777777" w:rsidTr="009F4102">
        <w:trPr>
          <w:trHeight w:val="330"/>
        </w:trPr>
        <w:tc>
          <w:tcPr>
            <w:tcW w:w="1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2CA8D3F" w14:textId="66A583F7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</w:pPr>
            <w:r w:rsidRPr="00B50352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  <w:lang w:val="es-ES"/>
              </w:rPr>
              <w:t xml:space="preserve">  Óptica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F998740" w14:textId="5A79E310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</w:pPr>
            <w:r w:rsidRPr="00B50352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  <w:lang w:val="es-ES"/>
              </w:rPr>
              <w:t>Construcción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E6622A" w14:textId="77777777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 w:val="18"/>
                <w:szCs w:val="20"/>
              </w:rPr>
            </w:pPr>
            <w:r w:rsidRPr="00CA52DA">
              <w:rPr>
                <w:rFonts w:ascii="Malgun Gothic" w:eastAsia="Malgun Gothic" w:hAnsi="Malgun Gothic" w:cs="Gulim"/>
                <w:color w:val="000000"/>
                <w:kern w:val="0"/>
                <w:sz w:val="18"/>
                <w:szCs w:val="20"/>
              </w:rPr>
              <w:t>12 Elements in 10 Groups</w:t>
            </w:r>
          </w:p>
        </w:tc>
      </w:tr>
      <w:tr w:rsidR="009F4102" w:rsidRPr="00E67077" w14:paraId="3D494CAB" w14:textId="77777777" w:rsidTr="009F4102">
        <w:trPr>
          <w:trHeight w:val="33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D7C3" w14:textId="77777777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C7039E5" w14:textId="2DD9029B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</w:pPr>
            <w:r w:rsidRPr="00B50352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  <w:lang w:val="es-ES"/>
              </w:rPr>
              <w:t>Lentes especiales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69C8CD" w14:textId="77777777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 w:val="18"/>
                <w:szCs w:val="20"/>
              </w:rPr>
            </w:pPr>
            <w:r w:rsidRPr="00CA52DA">
              <w:rPr>
                <w:rFonts w:ascii="Malgun Gothic" w:eastAsia="Malgun Gothic" w:hAnsi="Malgun Gothic" w:cs="Gulim"/>
                <w:color w:val="000000"/>
                <w:kern w:val="0"/>
                <w:sz w:val="18"/>
                <w:szCs w:val="20"/>
              </w:rPr>
              <w:t>ASP 3, HR 1, ED 1</w:t>
            </w:r>
          </w:p>
        </w:tc>
      </w:tr>
      <w:tr w:rsidR="009F4102" w:rsidRPr="00E67077" w14:paraId="3622A0D7" w14:textId="77777777" w:rsidTr="009F4102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00F210D" w14:textId="305738C0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</w:pPr>
            <w:r w:rsidRPr="00637E67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  <w:t xml:space="preserve">  </w:t>
            </w:r>
            <w:r w:rsidRPr="00B50352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  <w:lang w:val="es-ES"/>
              </w:rPr>
              <w:t>Revestimiento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73BCE7" w14:textId="77777777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 w:val="18"/>
                <w:szCs w:val="20"/>
              </w:rPr>
            </w:pPr>
            <w:r w:rsidRPr="00CA52DA">
              <w:rPr>
                <w:rFonts w:ascii="Malgun Gothic" w:eastAsia="Malgun Gothic" w:hAnsi="Malgun Gothic" w:cs="Gulim"/>
                <w:color w:val="000000"/>
                <w:kern w:val="0"/>
                <w:sz w:val="18"/>
                <w:szCs w:val="20"/>
              </w:rPr>
              <w:t>UMC</w:t>
            </w:r>
          </w:p>
        </w:tc>
      </w:tr>
      <w:tr w:rsidR="009F4102" w:rsidRPr="00E67077" w14:paraId="7DC69FE6" w14:textId="77777777" w:rsidTr="009F4102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9813769" w14:textId="3DC8B12E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</w:pPr>
            <w:r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  <w:t xml:space="preserve">  </w:t>
            </w:r>
            <w:proofErr w:type="spellStart"/>
            <w:r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  <w:t>Distancia</w:t>
            </w:r>
            <w:proofErr w:type="spellEnd"/>
            <w:r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  <w:t xml:space="preserve"> Minima de </w:t>
            </w:r>
            <w:proofErr w:type="spellStart"/>
            <w:r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  <w:t>enfoque</w:t>
            </w:r>
            <w:proofErr w:type="spellEnd"/>
            <w:r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  <w:t xml:space="preserve"> 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37B926" w14:textId="77777777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 w:val="18"/>
                <w:szCs w:val="20"/>
              </w:rPr>
            </w:pPr>
            <w:r w:rsidRPr="00CA52DA">
              <w:rPr>
                <w:rFonts w:ascii="Malgun Gothic" w:eastAsia="Malgun Gothic" w:hAnsi="Malgun Gothic" w:cs="Gulim"/>
                <w:color w:val="000000"/>
                <w:kern w:val="0"/>
                <w:sz w:val="18"/>
                <w:szCs w:val="20"/>
              </w:rPr>
              <w:t>0.30m (0.98ft)</w:t>
            </w:r>
          </w:p>
        </w:tc>
      </w:tr>
      <w:tr w:rsidR="009F4102" w:rsidRPr="00E67077" w14:paraId="744CDE15" w14:textId="77777777" w:rsidTr="009F4102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7F12421" w14:textId="38BB9AE0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</w:pPr>
            <w:r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  <w:t xml:space="preserve">  Ratio de </w:t>
            </w:r>
            <w:proofErr w:type="spellStart"/>
            <w:r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  <w:t>aumento</w:t>
            </w:r>
            <w:proofErr w:type="spellEnd"/>
            <w:r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  <w:t xml:space="preserve"> 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03DD49" w14:textId="77777777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 w:val="18"/>
                <w:szCs w:val="20"/>
              </w:rPr>
            </w:pPr>
            <w:r w:rsidRPr="00CA52DA">
              <w:rPr>
                <w:rFonts w:ascii="Malgun Gothic" w:eastAsia="Malgun Gothic" w:hAnsi="Malgun Gothic" w:cs="Gulim"/>
                <w:color w:val="000000"/>
                <w:kern w:val="0"/>
                <w:sz w:val="18"/>
                <w:szCs w:val="20"/>
              </w:rPr>
              <w:t>0.17x</w:t>
            </w:r>
          </w:p>
        </w:tc>
      </w:tr>
      <w:tr w:rsidR="009F4102" w:rsidRPr="00E67077" w14:paraId="6EB29C19" w14:textId="77777777" w:rsidTr="009F4102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3F0BE0B" w14:textId="18C3731B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</w:pPr>
            <w:r w:rsidRPr="00B50352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  <w:lang w:val="es-ES"/>
              </w:rPr>
              <w:t xml:space="preserve">  Tamaño filtro (mm)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B793ED" w14:textId="77777777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kern w:val="0"/>
                <w:sz w:val="18"/>
                <w:szCs w:val="20"/>
              </w:rPr>
            </w:pPr>
            <w:r w:rsidRPr="00CA52DA">
              <w:rPr>
                <w:rFonts w:ascii="Malgun Gothic" w:eastAsia="Malgun Gothic" w:hAnsi="Malgun Gothic" w:cs="Gulim" w:hint="eastAsia"/>
                <w:kern w:val="0"/>
                <w:sz w:val="18"/>
                <w:szCs w:val="20"/>
              </w:rPr>
              <w:t>Φ</w:t>
            </w:r>
            <w:r w:rsidRPr="00CA52DA">
              <w:rPr>
                <w:rFonts w:ascii="Malgun Gothic" w:eastAsia="Malgun Gothic" w:hAnsi="Malgun Gothic" w:cs="Gulim"/>
                <w:kern w:val="0"/>
                <w:sz w:val="18"/>
                <w:szCs w:val="20"/>
              </w:rPr>
              <w:t xml:space="preserve"> 67.0</w:t>
            </w:r>
          </w:p>
        </w:tc>
      </w:tr>
      <w:tr w:rsidR="009F4102" w:rsidRPr="00E67077" w14:paraId="35E2B5A7" w14:textId="77777777" w:rsidTr="009F4102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51B6357" w14:textId="43726BF7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</w:pPr>
            <w:r w:rsidRPr="00B50352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  <w:lang w:val="es-ES"/>
              </w:rPr>
              <w:t xml:space="preserve">  Máximo Diámetro (mm)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EEEFA" w14:textId="77777777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kern w:val="0"/>
                <w:sz w:val="18"/>
                <w:szCs w:val="20"/>
              </w:rPr>
            </w:pPr>
            <w:r w:rsidRPr="00CA52DA">
              <w:rPr>
                <w:rFonts w:ascii="Malgun Gothic" w:eastAsia="Malgun Gothic" w:hAnsi="Malgun Gothic" w:cs="Gulim" w:hint="eastAsia"/>
                <w:kern w:val="0"/>
                <w:sz w:val="18"/>
                <w:szCs w:val="20"/>
              </w:rPr>
              <w:t>Φ</w:t>
            </w:r>
            <w:r w:rsidRPr="00CA52DA">
              <w:rPr>
                <w:rFonts w:ascii="Malgun Gothic" w:eastAsia="Malgun Gothic" w:hAnsi="Malgun Gothic" w:cs="Gulim"/>
                <w:kern w:val="0"/>
                <w:sz w:val="18"/>
                <w:szCs w:val="20"/>
              </w:rPr>
              <w:t xml:space="preserve"> 75.0</w:t>
            </w:r>
          </w:p>
        </w:tc>
      </w:tr>
      <w:tr w:rsidR="009F4102" w:rsidRPr="00E67077" w14:paraId="4B6F06DF" w14:textId="77777777" w:rsidTr="009F4102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</w:tcPr>
          <w:p w14:paraId="555F906C" w14:textId="3D290AF6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</w:pPr>
            <w:r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  <w:lang w:val="es-ES"/>
              </w:rPr>
              <w:t>Numero de Hojas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346762" w14:textId="77777777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kern w:val="0"/>
                <w:sz w:val="18"/>
                <w:szCs w:val="20"/>
              </w:rPr>
            </w:pPr>
            <w:r>
              <w:rPr>
                <w:rFonts w:ascii="Malgun Gothic" w:eastAsia="Malgun Gothic" w:hAnsi="Malgun Gothic" w:cs="Gulim" w:hint="eastAsia"/>
                <w:kern w:val="0"/>
                <w:sz w:val="18"/>
                <w:szCs w:val="20"/>
              </w:rPr>
              <w:t>9</w:t>
            </w:r>
          </w:p>
        </w:tc>
      </w:tr>
      <w:tr w:rsidR="009F4102" w:rsidRPr="00E67077" w14:paraId="6EC85BC3" w14:textId="77777777" w:rsidTr="009F4102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D6784E8" w14:textId="2F9698B5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</w:pPr>
            <w:r w:rsidRPr="00B50352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  <w:lang w:val="es-ES"/>
              </w:rPr>
              <w:t xml:space="preserve">  Montura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2A7B4" w14:textId="77777777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kern w:val="0"/>
                <w:sz w:val="18"/>
                <w:szCs w:val="20"/>
              </w:rPr>
            </w:pPr>
            <w:r w:rsidRPr="00CA52DA">
              <w:rPr>
                <w:rFonts w:ascii="Malgun Gothic" w:eastAsia="Malgun Gothic" w:hAnsi="Malgun Gothic" w:cs="Gulim"/>
                <w:kern w:val="0"/>
                <w:sz w:val="18"/>
                <w:szCs w:val="20"/>
              </w:rPr>
              <w:t>Sony FE</w:t>
            </w:r>
          </w:p>
        </w:tc>
      </w:tr>
      <w:tr w:rsidR="009F4102" w:rsidRPr="00E67077" w14:paraId="1D36EFE9" w14:textId="77777777" w:rsidTr="009F4102">
        <w:trPr>
          <w:trHeight w:val="330"/>
        </w:trPr>
        <w:tc>
          <w:tcPr>
            <w:tcW w:w="1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7752A99" w14:textId="6BA78067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</w:pPr>
            <w:r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  <w:t>Angulo de    Visión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4EFF2A6" w14:textId="77777777" w:rsidR="009F4102" w:rsidRPr="00E67077" w:rsidRDefault="009F4102" w:rsidP="00E822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</w:pPr>
            <w:r w:rsidRPr="00E67077"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18"/>
                <w:szCs w:val="20"/>
              </w:rPr>
              <w:t>Full Frame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C6D3A" w14:textId="77777777" w:rsidR="009F4102" w:rsidRPr="00E67077" w:rsidRDefault="009F4102" w:rsidP="00E822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 w:val="18"/>
                <w:szCs w:val="20"/>
              </w:rPr>
            </w:pPr>
            <w:r w:rsidRPr="00CA52DA">
              <w:rPr>
                <w:rFonts w:ascii="Malgun Gothic" w:eastAsia="Malgun Gothic" w:hAnsi="Malgun Gothic" w:cs="Gulim"/>
                <w:color w:val="000000"/>
                <w:kern w:val="0"/>
                <w:sz w:val="18"/>
                <w:szCs w:val="20"/>
              </w:rPr>
              <w:t>63.4˚</w:t>
            </w:r>
          </w:p>
        </w:tc>
      </w:tr>
      <w:tr w:rsidR="009F4102" w:rsidRPr="00E67077" w14:paraId="7B6384D6" w14:textId="77777777" w:rsidTr="009F4102">
        <w:trPr>
          <w:trHeight w:val="330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E8D11" w14:textId="77777777" w:rsidR="009F4102" w:rsidRPr="00E67077" w:rsidRDefault="009F4102" w:rsidP="00E822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096B3B1" w14:textId="77777777" w:rsidR="009F4102" w:rsidRPr="00E67077" w:rsidRDefault="009F4102" w:rsidP="00E822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</w:pPr>
            <w:r w:rsidRPr="00E67077"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18"/>
                <w:szCs w:val="20"/>
              </w:rPr>
              <w:t>APS-C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788A6F" w14:textId="77777777" w:rsidR="009F4102" w:rsidRPr="00E67077" w:rsidRDefault="009F4102" w:rsidP="00E822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color w:val="000000"/>
                <w:kern w:val="0"/>
                <w:sz w:val="18"/>
                <w:szCs w:val="20"/>
              </w:rPr>
            </w:pPr>
            <w:r w:rsidRPr="00CA52DA">
              <w:rPr>
                <w:rFonts w:ascii="Malgun Gothic" w:eastAsia="Malgun Gothic" w:hAnsi="Malgun Gothic" w:cs="Gulim"/>
                <w:color w:val="000000"/>
                <w:kern w:val="0"/>
                <w:sz w:val="18"/>
                <w:szCs w:val="20"/>
              </w:rPr>
              <w:t>44.2˚</w:t>
            </w:r>
          </w:p>
        </w:tc>
      </w:tr>
      <w:tr w:rsidR="009F4102" w:rsidRPr="00E67077" w14:paraId="0C8C3DE4" w14:textId="77777777" w:rsidTr="009F4102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3EBEEA5" w14:textId="199096C3" w:rsidR="009F4102" w:rsidRPr="00E67077" w:rsidRDefault="009F4102" w:rsidP="00E822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</w:pPr>
            <w:r w:rsidRPr="00E67077"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18"/>
                <w:szCs w:val="20"/>
              </w:rPr>
              <w:t xml:space="preserve">  L</w:t>
            </w:r>
            <w:r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  <w:t>argo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2EEECE" w14:textId="77777777" w:rsidR="009F4102" w:rsidRPr="00E67077" w:rsidRDefault="009F4102" w:rsidP="00E822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kern w:val="0"/>
                <w:sz w:val="18"/>
                <w:szCs w:val="20"/>
              </w:rPr>
            </w:pPr>
            <w:r w:rsidRPr="00CA52DA">
              <w:rPr>
                <w:rFonts w:ascii="Malgun Gothic" w:eastAsia="Malgun Gothic" w:hAnsi="Malgun Gothic" w:cs="Gulim"/>
                <w:kern w:val="0"/>
                <w:sz w:val="18"/>
                <w:szCs w:val="20"/>
              </w:rPr>
              <w:t>99.2mm / 3.9in</w:t>
            </w:r>
          </w:p>
        </w:tc>
      </w:tr>
      <w:tr w:rsidR="009F4102" w:rsidRPr="00E67077" w14:paraId="2808BA13" w14:textId="77777777" w:rsidTr="009F4102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B2EFA6A" w14:textId="09E11B65" w:rsidR="009F4102" w:rsidRPr="009F4102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  <w:lang w:val="es-ES"/>
              </w:rPr>
            </w:pPr>
            <w:r w:rsidRPr="00B50352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  <w:lang w:val="es-ES"/>
              </w:rPr>
              <w:t xml:space="preserve">  </w:t>
            </w:r>
            <w:r w:rsidRPr="00B50352">
              <w:rPr>
                <w:rFonts w:ascii="Malgun Gothic" w:eastAsia="Malgun Gothic" w:hAnsi="Malgun Gothic" w:cs="Gulim"/>
                <w:b/>
                <w:bCs/>
                <w:kern w:val="0"/>
                <w:sz w:val="18"/>
                <w:szCs w:val="18"/>
                <w:lang w:val="es-ES"/>
              </w:rPr>
              <w:t>Peso (sin tapa del objetivo ni parasol)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49A340" w14:textId="77777777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kern w:val="0"/>
                <w:sz w:val="18"/>
                <w:szCs w:val="20"/>
              </w:rPr>
            </w:pPr>
            <w:r w:rsidRPr="00CA52DA">
              <w:rPr>
                <w:rFonts w:ascii="Malgun Gothic" w:eastAsia="Malgun Gothic" w:hAnsi="Malgun Gothic" w:cs="Gulim"/>
                <w:kern w:val="0"/>
                <w:sz w:val="18"/>
                <w:szCs w:val="20"/>
              </w:rPr>
              <w:t>470g / 16.6oz</w:t>
            </w:r>
          </w:p>
        </w:tc>
      </w:tr>
      <w:tr w:rsidR="009F4102" w:rsidRPr="00E67077" w14:paraId="182AACCA" w14:textId="77777777" w:rsidTr="009F4102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1D72CFD" w14:textId="3026E1AD" w:rsidR="009F4102" w:rsidRPr="00E67077" w:rsidRDefault="009F4102" w:rsidP="00E822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</w:pPr>
            <w:r w:rsidRPr="00B50352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  <w:lang w:val="es-ES"/>
              </w:rPr>
              <w:t xml:space="preserve">  Sellado contra la intemperie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E5C7B1" w14:textId="77777777" w:rsidR="009F4102" w:rsidRPr="00E67077" w:rsidRDefault="009F4102" w:rsidP="00E822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kern w:val="0"/>
                <w:sz w:val="18"/>
                <w:szCs w:val="20"/>
              </w:rPr>
            </w:pPr>
            <w:r>
              <w:rPr>
                <w:rFonts w:ascii="Malgun Gothic" w:eastAsia="Malgun Gothic" w:hAnsi="Malgun Gothic" w:cs="Gulim" w:hint="eastAsia"/>
                <w:kern w:val="0"/>
                <w:sz w:val="18"/>
                <w:szCs w:val="20"/>
              </w:rPr>
              <w:t>O</w:t>
            </w:r>
          </w:p>
        </w:tc>
      </w:tr>
      <w:tr w:rsidR="009F4102" w:rsidRPr="00E67077" w14:paraId="2BF197C4" w14:textId="77777777" w:rsidTr="009F4102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83392E8" w14:textId="54E32BFF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</w:pPr>
            <w:r w:rsidRPr="00B50352"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  <w:lang w:val="es-ES"/>
              </w:rPr>
              <w:t xml:space="preserve">  Modo Switch AF/MF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9799BC" w14:textId="77777777" w:rsidR="009F4102" w:rsidRPr="00E67077" w:rsidRDefault="009F4102" w:rsidP="009F410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kern w:val="0"/>
                <w:sz w:val="18"/>
                <w:szCs w:val="20"/>
              </w:rPr>
            </w:pPr>
            <w:r>
              <w:rPr>
                <w:rFonts w:ascii="Malgun Gothic" w:eastAsia="Malgun Gothic" w:hAnsi="Malgun Gothic" w:cs="Gulim" w:hint="eastAsia"/>
                <w:kern w:val="0"/>
                <w:sz w:val="18"/>
                <w:szCs w:val="20"/>
              </w:rPr>
              <w:t>X</w:t>
            </w:r>
          </w:p>
        </w:tc>
      </w:tr>
      <w:tr w:rsidR="009F4102" w:rsidRPr="00E67077" w14:paraId="60878228" w14:textId="77777777" w:rsidTr="009F4102">
        <w:trPr>
          <w:trHeight w:val="330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E580534" w14:textId="77777777" w:rsidR="009F4102" w:rsidRPr="00E67077" w:rsidRDefault="009F4102" w:rsidP="00E822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algun Gothic" w:eastAsia="Malgun Gothic" w:hAnsi="Malgun Gothic" w:cs="Gulim"/>
                <w:b/>
                <w:bCs/>
                <w:color w:val="000000"/>
                <w:kern w:val="0"/>
                <w:sz w:val="18"/>
                <w:szCs w:val="20"/>
              </w:rPr>
            </w:pPr>
            <w:r w:rsidRPr="00E67077">
              <w:rPr>
                <w:rFonts w:ascii="Malgun Gothic" w:eastAsia="Malgun Gothic" w:hAnsi="Malgun Gothic" w:cs="Gulim" w:hint="eastAsia"/>
                <w:b/>
                <w:bCs/>
                <w:color w:val="000000"/>
                <w:kern w:val="0"/>
                <w:sz w:val="18"/>
                <w:szCs w:val="20"/>
              </w:rPr>
              <w:t xml:space="preserve">  AF Motor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C9546" w14:textId="77777777" w:rsidR="009F4102" w:rsidRPr="00E67077" w:rsidRDefault="009F4102" w:rsidP="00E822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Malgun Gothic" w:eastAsia="Malgun Gothic" w:hAnsi="Malgun Gothic" w:cs="Gulim"/>
                <w:kern w:val="0"/>
                <w:sz w:val="18"/>
                <w:szCs w:val="20"/>
              </w:rPr>
            </w:pPr>
            <w:r w:rsidRPr="00E67077">
              <w:rPr>
                <w:rFonts w:ascii="Malgun Gothic" w:eastAsia="Malgun Gothic" w:hAnsi="Malgun Gothic" w:cs="Gulim" w:hint="eastAsia"/>
                <w:kern w:val="0"/>
                <w:sz w:val="18"/>
                <w:szCs w:val="20"/>
              </w:rPr>
              <w:t>Linear STM</w:t>
            </w:r>
          </w:p>
        </w:tc>
      </w:tr>
    </w:tbl>
    <w:p w14:paraId="4AC991F4" w14:textId="77777777" w:rsidR="004739D8" w:rsidRPr="00B50352" w:rsidRDefault="004739D8" w:rsidP="009E274E">
      <w:pPr>
        <w:rPr>
          <w:rFonts w:ascii="Malgun Gothic" w:eastAsia="Malgun Gothic" w:hAnsi="Malgun Gothic"/>
          <w:b/>
          <w:color w:val="000000"/>
          <w:szCs w:val="20"/>
          <w:lang w:val="es-ES"/>
        </w:rPr>
      </w:pPr>
    </w:p>
    <w:p w14:paraId="4AC991F8" w14:textId="77777777" w:rsidR="00231B20" w:rsidRDefault="00231B20" w:rsidP="009E274E">
      <w:pPr>
        <w:spacing w:after="0" w:line="276" w:lineRule="auto"/>
        <w:rPr>
          <w:rFonts w:asciiTheme="majorHAnsi" w:eastAsiaTheme="majorHAnsi" w:hAnsiTheme="majorHAnsi"/>
          <w:lang w:val="es-ES"/>
        </w:rPr>
      </w:pPr>
    </w:p>
    <w:p w14:paraId="18B60B7E" w14:textId="77777777" w:rsidR="00DB3C1A" w:rsidRPr="00B50352" w:rsidRDefault="00DB3C1A" w:rsidP="009E274E">
      <w:pPr>
        <w:spacing w:after="0" w:line="276" w:lineRule="auto"/>
        <w:rPr>
          <w:rFonts w:asciiTheme="majorHAnsi" w:eastAsiaTheme="majorHAnsi" w:hAnsiTheme="majorHAnsi"/>
          <w:lang w:val="es-ES"/>
        </w:rPr>
      </w:pPr>
    </w:p>
    <w:p w14:paraId="4FEECDB6" w14:textId="66915E0F" w:rsidR="004654BF" w:rsidRPr="00B50352" w:rsidRDefault="004654BF" w:rsidP="004654BF">
      <w:pPr>
        <w:spacing w:after="0" w:line="276" w:lineRule="auto"/>
        <w:rPr>
          <w:rFonts w:asciiTheme="majorHAnsi" w:eastAsiaTheme="majorHAnsi" w:hAnsiTheme="majorHAnsi" w:cs="Segoe UI"/>
          <w:lang w:val="es-ES"/>
        </w:rPr>
      </w:pPr>
      <w:r w:rsidRPr="00B50352">
        <w:rPr>
          <w:rFonts w:asciiTheme="majorHAnsi" w:eastAsiaTheme="majorHAnsi" w:hAnsiTheme="majorHAnsi" w:cs="Segoe UI"/>
          <w:lang w:val="es-ES"/>
        </w:rPr>
        <w:lastRenderedPageBreak/>
        <w:t xml:space="preserve">Encontrará información detallada sobre el nuevo objetivo </w:t>
      </w:r>
      <w:r w:rsidR="00BC4C68" w:rsidRPr="008A02E1">
        <w:rPr>
          <w:rFonts w:asciiTheme="majorHAnsi" w:eastAsiaTheme="majorHAnsi" w:hAnsiTheme="majorHAnsi" w:cs="Segoe UI"/>
          <w:szCs w:val="20"/>
          <w:lang w:val="es-ES"/>
        </w:rPr>
        <w:t xml:space="preserve">AF 35mm F1.4 P FE </w:t>
      </w:r>
      <w:r w:rsidRPr="00B50352">
        <w:rPr>
          <w:rFonts w:asciiTheme="majorHAnsi" w:eastAsiaTheme="majorHAnsi" w:hAnsiTheme="majorHAnsi" w:cs="Segoe UI"/>
          <w:lang w:val="es-ES"/>
        </w:rPr>
        <w:t>en el sitio web oficial de LK Samyang, así como en la web y redes sociales de su distribuidor oficial Robisa.</w:t>
      </w:r>
    </w:p>
    <w:p w14:paraId="1756A399" w14:textId="6CD7A824" w:rsidR="004654BF" w:rsidRPr="00065EA3" w:rsidRDefault="004654BF" w:rsidP="004654BF">
      <w:pPr>
        <w:spacing w:after="0" w:line="276" w:lineRule="auto"/>
        <w:rPr>
          <w:rFonts w:asciiTheme="majorHAnsi" w:eastAsiaTheme="majorHAnsi" w:hAnsiTheme="majorHAnsi" w:cs="Segoe UI"/>
        </w:rPr>
      </w:pPr>
      <w:r w:rsidRPr="00065EA3">
        <w:rPr>
          <w:rFonts w:asciiTheme="majorHAnsi" w:eastAsiaTheme="majorHAnsi" w:hAnsiTheme="majorHAnsi" w:cs="Segoe UI"/>
        </w:rPr>
        <w:t xml:space="preserve">* Website: </w:t>
      </w:r>
      <w:hyperlink r:id="rId17" w:history="1">
        <w:r w:rsidRPr="00065EA3">
          <w:rPr>
            <w:rStyle w:val="Hipervnculo"/>
            <w:rFonts w:asciiTheme="majorHAnsi" w:eastAsiaTheme="majorHAnsi" w:hAnsiTheme="majorHAnsi" w:cs="Segoe UI"/>
          </w:rPr>
          <w:t>robisa.es/</w:t>
        </w:r>
        <w:proofErr w:type="spellStart"/>
        <w:r w:rsidRPr="00065EA3">
          <w:rPr>
            <w:rStyle w:val="Hipervnculo"/>
            <w:rFonts w:asciiTheme="majorHAnsi" w:eastAsiaTheme="majorHAnsi" w:hAnsiTheme="majorHAnsi" w:cs="Segoe UI"/>
          </w:rPr>
          <w:t>samyang</w:t>
        </w:r>
        <w:proofErr w:type="spellEnd"/>
      </w:hyperlink>
      <w:r w:rsidRPr="00065EA3">
        <w:rPr>
          <w:rFonts w:asciiTheme="majorHAnsi" w:eastAsiaTheme="majorHAnsi" w:hAnsiTheme="majorHAnsi" w:cs="Segoe UI"/>
        </w:rPr>
        <w:t xml:space="preserve">/    Shop: </w:t>
      </w:r>
      <w:hyperlink r:id="rId18" w:history="1">
        <w:r w:rsidRPr="00065EA3">
          <w:rPr>
            <w:rStyle w:val="Hipervnculo"/>
            <w:rFonts w:asciiTheme="majorHAnsi" w:eastAsiaTheme="majorHAnsi" w:hAnsiTheme="majorHAnsi" w:cs="Segoe UI"/>
          </w:rPr>
          <w:t>robisa.es/shop/67-samyang</w:t>
        </w:r>
      </w:hyperlink>
    </w:p>
    <w:p w14:paraId="71CEEE4F" w14:textId="02B030BA" w:rsidR="004654BF" w:rsidRPr="00EE0048" w:rsidRDefault="004654BF" w:rsidP="004654BF">
      <w:pPr>
        <w:spacing w:after="0" w:line="276" w:lineRule="auto"/>
        <w:rPr>
          <w:rFonts w:asciiTheme="majorHAnsi" w:eastAsiaTheme="majorHAnsi" w:hAnsiTheme="majorHAnsi" w:cs="Segoe UI"/>
        </w:rPr>
      </w:pPr>
      <w:r w:rsidRPr="00EE0048">
        <w:rPr>
          <w:rFonts w:asciiTheme="majorHAnsi" w:eastAsiaTheme="majorHAnsi" w:hAnsiTheme="majorHAnsi" w:cs="Segoe UI"/>
        </w:rPr>
        <w:t xml:space="preserve">* Facebook: </w:t>
      </w:r>
      <w:hyperlink r:id="rId19" w:history="1">
        <w:r w:rsidRPr="00EE0048">
          <w:rPr>
            <w:rStyle w:val="Hipervnculo"/>
            <w:rFonts w:asciiTheme="majorHAnsi" w:eastAsiaTheme="majorHAnsi" w:hAnsiTheme="majorHAnsi" w:cs="Segoe UI"/>
          </w:rPr>
          <w:t>@samyangiberia</w:t>
        </w:r>
      </w:hyperlink>
      <w:r w:rsidRPr="00EE0048">
        <w:rPr>
          <w:rFonts w:asciiTheme="majorHAnsi" w:eastAsiaTheme="majorHAnsi" w:hAnsiTheme="majorHAnsi" w:cs="Segoe UI"/>
        </w:rPr>
        <w:t xml:space="preserve">,  </w:t>
      </w:r>
      <w:hyperlink r:id="rId20" w:history="1">
        <w:r w:rsidRPr="00EE0048">
          <w:rPr>
            <w:rStyle w:val="Hipervnculo"/>
            <w:rFonts w:asciiTheme="majorHAnsi" w:eastAsiaTheme="majorHAnsi" w:hAnsiTheme="majorHAnsi" w:cs="Segoe UI"/>
          </w:rPr>
          <w:t>@robisa</w:t>
        </w:r>
      </w:hyperlink>
    </w:p>
    <w:p w14:paraId="2A9942B7" w14:textId="6DE5DBA2" w:rsidR="004654BF" w:rsidRPr="00EE0048" w:rsidRDefault="004654BF" w:rsidP="004654BF">
      <w:pPr>
        <w:spacing w:after="0" w:line="276" w:lineRule="auto"/>
        <w:rPr>
          <w:rFonts w:asciiTheme="majorHAnsi" w:eastAsiaTheme="majorHAnsi" w:hAnsiTheme="majorHAnsi" w:cs="Segoe UI"/>
        </w:rPr>
      </w:pPr>
      <w:r w:rsidRPr="00EE0048">
        <w:rPr>
          <w:rFonts w:asciiTheme="majorHAnsi" w:eastAsiaTheme="majorHAnsi" w:hAnsiTheme="majorHAnsi" w:cs="Segoe UI"/>
        </w:rPr>
        <w:t xml:space="preserve">* Instagram: </w:t>
      </w:r>
      <w:hyperlink r:id="rId21" w:history="1">
        <w:r w:rsidRPr="00EE0048">
          <w:rPr>
            <w:rStyle w:val="Hipervnculo"/>
            <w:rFonts w:asciiTheme="majorHAnsi" w:eastAsiaTheme="majorHAnsi" w:hAnsiTheme="majorHAnsi" w:cs="Segoe UI"/>
          </w:rPr>
          <w:t>@robisa</w:t>
        </w:r>
      </w:hyperlink>
    </w:p>
    <w:p w14:paraId="54A11D41" w14:textId="6D56E500" w:rsidR="004654BF" w:rsidRPr="00EE0048" w:rsidRDefault="004654BF" w:rsidP="004654BF">
      <w:pPr>
        <w:spacing w:after="0" w:line="276" w:lineRule="auto"/>
        <w:rPr>
          <w:rFonts w:asciiTheme="majorHAnsi" w:eastAsiaTheme="majorHAnsi" w:hAnsiTheme="majorHAnsi" w:cs="Segoe UI"/>
        </w:rPr>
      </w:pPr>
      <w:r w:rsidRPr="00EE0048">
        <w:rPr>
          <w:rFonts w:asciiTheme="majorHAnsi" w:eastAsiaTheme="majorHAnsi" w:hAnsiTheme="majorHAnsi" w:cs="Segoe UI"/>
        </w:rPr>
        <w:t xml:space="preserve">* Twitter: </w:t>
      </w:r>
      <w:hyperlink r:id="rId22" w:history="1">
        <w:r w:rsidRPr="00EE0048">
          <w:rPr>
            <w:rStyle w:val="Hipervnculo"/>
            <w:rFonts w:asciiTheme="majorHAnsi" w:eastAsiaTheme="majorHAnsi" w:hAnsiTheme="majorHAnsi" w:cs="Segoe UI"/>
          </w:rPr>
          <w:t>@robisa</w:t>
        </w:r>
      </w:hyperlink>
    </w:p>
    <w:p w14:paraId="4AC991FC" w14:textId="77777777" w:rsidR="00B96F3E" w:rsidRPr="00EE0048" w:rsidRDefault="00B96F3E" w:rsidP="009E274E">
      <w:pPr>
        <w:spacing w:after="0" w:line="276" w:lineRule="auto"/>
        <w:rPr>
          <w:rFonts w:asciiTheme="majorHAnsi" w:eastAsiaTheme="majorHAnsi" w:hAnsiTheme="majorHAnsi" w:cs="Segoe UI"/>
          <w:b/>
          <w:bCs/>
        </w:rPr>
      </w:pPr>
    </w:p>
    <w:p w14:paraId="4AC991FD" w14:textId="77777777" w:rsidR="00B96F3E" w:rsidRPr="00EE0048" w:rsidRDefault="00B96F3E" w:rsidP="009E274E">
      <w:pPr>
        <w:spacing w:after="0" w:line="276" w:lineRule="auto"/>
        <w:rPr>
          <w:rFonts w:asciiTheme="majorHAnsi" w:eastAsiaTheme="majorHAnsi" w:hAnsiTheme="majorHAnsi" w:cs="Segoe UI"/>
          <w:b/>
          <w:bCs/>
        </w:rPr>
      </w:pPr>
    </w:p>
    <w:p w14:paraId="4AC991FE" w14:textId="68FA7190" w:rsidR="009E274E" w:rsidRPr="00B50352" w:rsidRDefault="009E274E" w:rsidP="00E521DE">
      <w:pPr>
        <w:spacing w:before="200" w:after="120" w:line="240" w:lineRule="auto"/>
        <w:rPr>
          <w:rFonts w:asciiTheme="majorHAnsi" w:eastAsiaTheme="majorHAnsi" w:hAnsiTheme="majorHAnsi" w:cs="Segoe UI"/>
          <w:b/>
          <w:bCs/>
          <w:lang w:val="es-ES"/>
        </w:rPr>
      </w:pPr>
      <w:r w:rsidRPr="00B50352">
        <w:rPr>
          <w:rFonts w:asciiTheme="majorHAnsi" w:eastAsiaTheme="majorHAnsi" w:hAnsiTheme="majorHAnsi" w:cs="Segoe UI"/>
          <w:b/>
          <w:bCs/>
          <w:lang w:val="es-ES"/>
        </w:rPr>
        <w:t>A</w:t>
      </w:r>
      <w:r w:rsidR="0008009D" w:rsidRPr="00B50352">
        <w:rPr>
          <w:rFonts w:asciiTheme="majorHAnsi" w:eastAsiaTheme="majorHAnsi" w:hAnsiTheme="majorHAnsi" w:cs="Segoe UI"/>
          <w:b/>
          <w:bCs/>
          <w:lang w:val="es-ES"/>
        </w:rPr>
        <w:t>cerca de</w:t>
      </w:r>
      <w:r w:rsidRPr="00B50352">
        <w:rPr>
          <w:rFonts w:asciiTheme="majorHAnsi" w:eastAsiaTheme="majorHAnsi" w:hAnsiTheme="majorHAnsi" w:cs="Segoe UI"/>
          <w:b/>
          <w:bCs/>
          <w:lang w:val="es-ES"/>
        </w:rPr>
        <w:t xml:space="preserve"> LK Samyang </w:t>
      </w:r>
    </w:p>
    <w:p w14:paraId="33752AF8" w14:textId="4A299B83" w:rsidR="0008009D" w:rsidRPr="00B50352" w:rsidRDefault="0008009D" w:rsidP="0008009D">
      <w:pPr>
        <w:rPr>
          <w:rFonts w:asciiTheme="majorHAnsi" w:eastAsiaTheme="majorHAnsi" w:hAnsiTheme="majorHAnsi" w:cs="Segoe UI"/>
          <w:color w:val="0F0F0F"/>
          <w:lang w:val="es-ES"/>
        </w:rPr>
      </w:pPr>
      <w:r w:rsidRPr="00B50352">
        <w:rPr>
          <w:rFonts w:asciiTheme="majorHAnsi" w:eastAsiaTheme="majorHAnsi" w:hAnsiTheme="majorHAnsi" w:cs="Segoe UI"/>
          <w:color w:val="0F0F0F"/>
          <w:lang w:val="es-ES"/>
        </w:rPr>
        <w:t xml:space="preserve">El 28 de marzo de 2024, Samyang </w:t>
      </w:r>
      <w:proofErr w:type="spellStart"/>
      <w:r w:rsidRPr="00B50352">
        <w:rPr>
          <w:rFonts w:asciiTheme="majorHAnsi" w:eastAsiaTheme="majorHAnsi" w:hAnsiTheme="majorHAnsi" w:cs="Segoe UI"/>
          <w:color w:val="0F0F0F"/>
          <w:lang w:val="es-ES"/>
        </w:rPr>
        <w:t>Optics</w:t>
      </w:r>
      <w:proofErr w:type="spellEnd"/>
      <w:r w:rsidRPr="00B50352">
        <w:rPr>
          <w:rFonts w:asciiTheme="majorHAnsi" w:eastAsiaTheme="majorHAnsi" w:hAnsiTheme="majorHAnsi" w:cs="Segoe UI"/>
          <w:color w:val="0F0F0F"/>
          <w:lang w:val="es-ES"/>
        </w:rPr>
        <w:t xml:space="preserve">, líder mundial en tecnología óptica, cambió oficialmente su nombre a «LK Samyang». Este cambio de nombre forma parte de los esfuerzos continuos de la empresa por reforzar su reputación como marca innovadora y de confianza en la industria óptica, </w:t>
      </w:r>
      <w:r w:rsidR="000502DD" w:rsidRPr="00B50352">
        <w:rPr>
          <w:rFonts w:asciiTheme="majorHAnsi" w:eastAsiaTheme="majorHAnsi" w:hAnsiTheme="majorHAnsi" w:cs="Segoe UI"/>
          <w:color w:val="0F0F0F"/>
          <w:lang w:val="es-ES"/>
        </w:rPr>
        <w:t>abarcando</w:t>
      </w:r>
      <w:r w:rsidRPr="00B50352">
        <w:rPr>
          <w:rFonts w:asciiTheme="majorHAnsi" w:eastAsiaTheme="majorHAnsi" w:hAnsiTheme="majorHAnsi" w:cs="Segoe UI"/>
          <w:color w:val="0F0F0F"/>
          <w:lang w:val="es-ES"/>
        </w:rPr>
        <w:t xml:space="preserve"> no solo lentes intercambiables, sino una amplia gama de soluciones ópticas.</w:t>
      </w:r>
    </w:p>
    <w:p w14:paraId="4AC99200" w14:textId="733A9796" w:rsidR="00E67077" w:rsidRPr="00B50352" w:rsidRDefault="0008009D" w:rsidP="0008009D">
      <w:pPr>
        <w:rPr>
          <w:rFonts w:asciiTheme="majorHAnsi" w:eastAsiaTheme="majorHAnsi" w:hAnsiTheme="majorHAnsi" w:cs="Segoe UI"/>
          <w:color w:val="0F0F0F"/>
          <w:lang w:val="es-ES"/>
        </w:rPr>
      </w:pPr>
      <w:r w:rsidRPr="00B50352">
        <w:rPr>
          <w:rFonts w:asciiTheme="majorHAnsi" w:eastAsiaTheme="majorHAnsi" w:hAnsiTheme="majorHAnsi" w:cs="Segoe UI"/>
          <w:color w:val="0F0F0F"/>
          <w:lang w:val="es-ES"/>
        </w:rPr>
        <w:t>Bajo el nuevo nombre, LK Samyang seguirá mejorando sus capacidades tecnológicas, centrándose en el desarrollo y la producción de objetivos de alto rendimiento que satisfagan las diversas necesidades de fotógrafos y cineastas. La empresa se compromete a establecer nuevos estándares en la industria óptica, promover la innovación e inspirar la creatividad y la precisión en la narración visual.</w:t>
      </w:r>
    </w:p>
    <w:p w14:paraId="4AC99201" w14:textId="77777777" w:rsidR="007B2FBB" w:rsidRPr="00B50352" w:rsidRDefault="007B2FBB" w:rsidP="007B2FBB">
      <w:pPr>
        <w:rPr>
          <w:rFonts w:asciiTheme="majorHAnsi" w:eastAsiaTheme="majorHAnsi" w:hAnsiTheme="majorHAnsi" w:cs="Segoe UI"/>
          <w:color w:val="0F0F0F"/>
          <w:lang w:val="es-ES"/>
        </w:rPr>
      </w:pPr>
    </w:p>
    <w:p w14:paraId="4AC99202" w14:textId="13B66933" w:rsidR="00E67077" w:rsidRPr="00B50352" w:rsidRDefault="00E67077" w:rsidP="00E67077">
      <w:pPr>
        <w:jc w:val="center"/>
        <w:rPr>
          <w:rFonts w:asciiTheme="majorHAnsi" w:eastAsiaTheme="majorHAnsi" w:hAnsiTheme="majorHAnsi"/>
          <w:lang w:val="es-ES"/>
        </w:rPr>
      </w:pPr>
    </w:p>
    <w:sectPr w:rsidR="00E67077" w:rsidRPr="00B50352" w:rsidSect="007A1426">
      <w:headerReference w:type="default" r:id="rId23"/>
      <w:footerReference w:type="default" r:id="rId24"/>
      <w:pgSz w:w="11906" w:h="16838"/>
      <w:pgMar w:top="1810" w:right="1440" w:bottom="1440" w:left="1440" w:header="851" w:footer="289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93A4A" w14:textId="77777777" w:rsidR="00493BD6" w:rsidRDefault="00493BD6" w:rsidP="00267DAB">
      <w:pPr>
        <w:spacing w:after="0" w:line="240" w:lineRule="auto"/>
      </w:pPr>
      <w:r>
        <w:separator/>
      </w:r>
    </w:p>
  </w:endnote>
  <w:endnote w:type="continuationSeparator" w:id="0">
    <w:p w14:paraId="43482F19" w14:textId="77777777" w:rsidR="00493BD6" w:rsidRDefault="00493BD6" w:rsidP="00267DAB">
      <w:pPr>
        <w:spacing w:after="0" w:line="240" w:lineRule="auto"/>
      </w:pPr>
      <w:r>
        <w:continuationSeparator/>
      </w:r>
    </w:p>
  </w:endnote>
  <w:endnote w:type="continuationNotice" w:id="1">
    <w:p w14:paraId="13221133" w14:textId="77777777" w:rsidR="00493BD6" w:rsidRDefault="00493B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algun Gothic">
    <w:altName w:val="....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xen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F08AF" w14:textId="72E65DD2" w:rsidR="00A3229D" w:rsidRPr="004A0401" w:rsidRDefault="00A3229D" w:rsidP="00A3229D">
    <w:pPr>
      <w:pStyle w:val="Piedepgina"/>
      <w:spacing w:after="0" w:line="240" w:lineRule="auto"/>
      <w:jc w:val="center"/>
      <w:rPr>
        <w:szCs w:val="20"/>
        <w:lang w:val="pt-PT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F7FE31F" wp14:editId="1D07A7B2">
          <wp:simplePos x="0" y="0"/>
          <wp:positionH relativeFrom="column">
            <wp:posOffset>2533650</wp:posOffset>
          </wp:positionH>
          <wp:positionV relativeFrom="paragraph">
            <wp:posOffset>323979</wp:posOffset>
          </wp:positionV>
          <wp:extent cx="627380" cy="201930"/>
          <wp:effectExtent l="0" t="0" r="1270" b="7620"/>
          <wp:wrapTopAndBottom/>
          <wp:docPr id="2057701928" name="Picture 1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4492501" name="Picture 1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380" cy="201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63910" w:rsidRPr="004A0401">
      <w:rPr>
        <w:szCs w:val="20"/>
        <w:lang w:val="pt-PT"/>
      </w:rPr>
      <w:t>Distribuidor oficial</w:t>
    </w:r>
  </w:p>
  <w:p w14:paraId="0D234024" w14:textId="1255A807" w:rsidR="00963910" w:rsidRPr="00963910" w:rsidRDefault="00963910" w:rsidP="00A3229D">
    <w:pPr>
      <w:pStyle w:val="Piedepgina"/>
      <w:spacing w:after="0" w:line="240" w:lineRule="auto"/>
      <w:jc w:val="center"/>
      <w:rPr>
        <w:szCs w:val="20"/>
        <w:lang w:val="pt-PT"/>
      </w:rPr>
    </w:pPr>
    <w:r w:rsidRPr="004A0401">
      <w:rPr>
        <w:szCs w:val="20"/>
        <w:lang w:val="pt-PT"/>
      </w:rPr>
      <w:t>Rodolfo Biber, S.A. · info@robisa.es · +34 91 7292 711 · www.robisa.es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A7592" w14:textId="77777777" w:rsidR="00493BD6" w:rsidRDefault="00493BD6" w:rsidP="00267DAB">
      <w:pPr>
        <w:spacing w:after="0" w:line="240" w:lineRule="auto"/>
      </w:pPr>
      <w:r>
        <w:separator/>
      </w:r>
    </w:p>
  </w:footnote>
  <w:footnote w:type="continuationSeparator" w:id="0">
    <w:p w14:paraId="06C68EB7" w14:textId="77777777" w:rsidR="00493BD6" w:rsidRDefault="00493BD6" w:rsidP="00267DAB">
      <w:pPr>
        <w:spacing w:after="0" w:line="240" w:lineRule="auto"/>
      </w:pPr>
      <w:r>
        <w:continuationSeparator/>
      </w:r>
    </w:p>
  </w:footnote>
  <w:footnote w:type="continuationNotice" w:id="1">
    <w:p w14:paraId="47B5AE34" w14:textId="77777777" w:rsidR="00493BD6" w:rsidRDefault="00493B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77429" w14:textId="202B9D62" w:rsidR="001F0FDD" w:rsidRDefault="007A1426" w:rsidP="001F0FDD">
    <w:pPr>
      <w:pStyle w:val="Encabezado"/>
      <w:jc w:val="right"/>
    </w:pPr>
    <w:r>
      <w:rPr>
        <w:noProof/>
      </w:rPr>
      <w:drawing>
        <wp:anchor distT="0" distB="0" distL="114300" distR="114300" simplePos="0" relativeHeight="251658242" behindDoc="0" locked="0" layoutInCell="1" allowOverlap="1" wp14:anchorId="1BF95BBF" wp14:editId="6680FE60">
          <wp:simplePos x="0" y="0"/>
          <wp:positionH relativeFrom="column">
            <wp:posOffset>3634105</wp:posOffset>
          </wp:positionH>
          <wp:positionV relativeFrom="paragraph">
            <wp:posOffset>-343535</wp:posOffset>
          </wp:positionV>
          <wp:extent cx="2098675" cy="694055"/>
          <wp:effectExtent l="0" t="0" r="0" b="0"/>
          <wp:wrapSquare wrapText="bothSides"/>
          <wp:docPr id="40786007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898" b="33020"/>
                  <a:stretch/>
                </pic:blipFill>
                <pic:spPr bwMode="auto">
                  <a:xfrm>
                    <a:off x="0" y="0"/>
                    <a:ext cx="2098675" cy="6940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0FDD"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49749A5C" wp14:editId="747469A1">
              <wp:simplePos x="0" y="0"/>
              <wp:positionH relativeFrom="column">
                <wp:posOffset>14605</wp:posOffset>
              </wp:positionH>
              <wp:positionV relativeFrom="paragraph">
                <wp:posOffset>4650</wp:posOffset>
              </wp:positionV>
              <wp:extent cx="2360930" cy="348615"/>
              <wp:effectExtent l="0" t="0" r="12700" b="1333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48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108707" w14:textId="4B8E7154" w:rsidR="001F0FDD" w:rsidRPr="001F0FDD" w:rsidRDefault="001F0FDD" w:rsidP="001F0FDD">
                          <w:pPr>
                            <w:jc w:val="center"/>
                            <w:rPr>
                              <w:lang w:val="es-ES"/>
                            </w:rPr>
                          </w:pPr>
                          <w:r>
                            <w:t>COMUNICADO DE PRENSA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749A5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1.15pt;margin-top:.35pt;width:185.9pt;height:27.45pt;z-index:251658241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">
              <v:textbox>
                <w:txbxContent>
                  <w:p w14:paraId="6C108707" w14:textId="4B8E7154" w:rsidR="001F0FDD" w:rsidRPr="001F0FDD" w:rsidRDefault="001F0FDD" w:rsidP="001F0FDD">
                    <w:pPr>
                      <w:jc w:val="center"/>
                      <w:rPr>
                        <w:lang w:val="es-ES"/>
                      </w:rPr>
                    </w:pPr>
                    <w:r>
                      <w:t>COMUNICADO DE PRENSA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DAB"/>
    <w:rsid w:val="000052FE"/>
    <w:rsid w:val="00011AB3"/>
    <w:rsid w:val="000255BD"/>
    <w:rsid w:val="00026926"/>
    <w:rsid w:val="00031F8A"/>
    <w:rsid w:val="00045EA7"/>
    <w:rsid w:val="000502DD"/>
    <w:rsid w:val="000511E9"/>
    <w:rsid w:val="00053112"/>
    <w:rsid w:val="00060938"/>
    <w:rsid w:val="00065EA3"/>
    <w:rsid w:val="00071CC8"/>
    <w:rsid w:val="00076AA2"/>
    <w:rsid w:val="0008009D"/>
    <w:rsid w:val="000805F5"/>
    <w:rsid w:val="0008490F"/>
    <w:rsid w:val="000852E3"/>
    <w:rsid w:val="000863DD"/>
    <w:rsid w:val="0009481A"/>
    <w:rsid w:val="00097187"/>
    <w:rsid w:val="00097C1F"/>
    <w:rsid w:val="000A04A9"/>
    <w:rsid w:val="000A365D"/>
    <w:rsid w:val="000A69E1"/>
    <w:rsid w:val="000C583D"/>
    <w:rsid w:val="000D6014"/>
    <w:rsid w:val="000D6785"/>
    <w:rsid w:val="000E2713"/>
    <w:rsid w:val="000E657A"/>
    <w:rsid w:val="000F20D7"/>
    <w:rsid w:val="00103916"/>
    <w:rsid w:val="00105879"/>
    <w:rsid w:val="00110163"/>
    <w:rsid w:val="001151FC"/>
    <w:rsid w:val="001212BC"/>
    <w:rsid w:val="001214AF"/>
    <w:rsid w:val="00121789"/>
    <w:rsid w:val="00125F61"/>
    <w:rsid w:val="00126AC8"/>
    <w:rsid w:val="00131151"/>
    <w:rsid w:val="0014070D"/>
    <w:rsid w:val="00153ECD"/>
    <w:rsid w:val="0015446C"/>
    <w:rsid w:val="001836A1"/>
    <w:rsid w:val="00184B32"/>
    <w:rsid w:val="001A0349"/>
    <w:rsid w:val="001A36DD"/>
    <w:rsid w:val="001B12D6"/>
    <w:rsid w:val="001C5C00"/>
    <w:rsid w:val="001C6E29"/>
    <w:rsid w:val="001D1B46"/>
    <w:rsid w:val="001D3758"/>
    <w:rsid w:val="001E0F8A"/>
    <w:rsid w:val="001E2881"/>
    <w:rsid w:val="001E620B"/>
    <w:rsid w:val="001F05CA"/>
    <w:rsid w:val="001F0FDD"/>
    <w:rsid w:val="001F1ACB"/>
    <w:rsid w:val="001F1DD5"/>
    <w:rsid w:val="002009A5"/>
    <w:rsid w:val="00203194"/>
    <w:rsid w:val="00212625"/>
    <w:rsid w:val="00230E8A"/>
    <w:rsid w:val="002311AC"/>
    <w:rsid w:val="00231534"/>
    <w:rsid w:val="00231B20"/>
    <w:rsid w:val="00247327"/>
    <w:rsid w:val="002637E8"/>
    <w:rsid w:val="00267DAB"/>
    <w:rsid w:val="00275C1C"/>
    <w:rsid w:val="002A1176"/>
    <w:rsid w:val="002B7A93"/>
    <w:rsid w:val="002C05D6"/>
    <w:rsid w:val="002C271C"/>
    <w:rsid w:val="002C27CD"/>
    <w:rsid w:val="002D1A82"/>
    <w:rsid w:val="002E485E"/>
    <w:rsid w:val="002E5FA8"/>
    <w:rsid w:val="002F68A8"/>
    <w:rsid w:val="00302D82"/>
    <w:rsid w:val="00304F80"/>
    <w:rsid w:val="003100B9"/>
    <w:rsid w:val="00310FCE"/>
    <w:rsid w:val="00323403"/>
    <w:rsid w:val="00330BF8"/>
    <w:rsid w:val="00331DD9"/>
    <w:rsid w:val="00331F81"/>
    <w:rsid w:val="00331F82"/>
    <w:rsid w:val="00355530"/>
    <w:rsid w:val="00370BD5"/>
    <w:rsid w:val="00374C7E"/>
    <w:rsid w:val="003934B8"/>
    <w:rsid w:val="003A6811"/>
    <w:rsid w:val="003A70D8"/>
    <w:rsid w:val="003A718D"/>
    <w:rsid w:val="003B3058"/>
    <w:rsid w:val="003B350C"/>
    <w:rsid w:val="003B6D2C"/>
    <w:rsid w:val="003E47FF"/>
    <w:rsid w:val="003F0CFE"/>
    <w:rsid w:val="003F287A"/>
    <w:rsid w:val="003F5109"/>
    <w:rsid w:val="003F7C90"/>
    <w:rsid w:val="0041198D"/>
    <w:rsid w:val="00416838"/>
    <w:rsid w:val="00420EA7"/>
    <w:rsid w:val="00425277"/>
    <w:rsid w:val="0042633C"/>
    <w:rsid w:val="00427D33"/>
    <w:rsid w:val="00432765"/>
    <w:rsid w:val="0043500C"/>
    <w:rsid w:val="004369B9"/>
    <w:rsid w:val="004375C4"/>
    <w:rsid w:val="00446DD9"/>
    <w:rsid w:val="0045000A"/>
    <w:rsid w:val="00454F7C"/>
    <w:rsid w:val="004607C9"/>
    <w:rsid w:val="00460CA3"/>
    <w:rsid w:val="00461FBF"/>
    <w:rsid w:val="00462968"/>
    <w:rsid w:val="004654BF"/>
    <w:rsid w:val="00466547"/>
    <w:rsid w:val="00470E1F"/>
    <w:rsid w:val="00472C17"/>
    <w:rsid w:val="004739D8"/>
    <w:rsid w:val="0047707F"/>
    <w:rsid w:val="00480A82"/>
    <w:rsid w:val="0048645C"/>
    <w:rsid w:val="00486ADD"/>
    <w:rsid w:val="00493BD6"/>
    <w:rsid w:val="00494EC4"/>
    <w:rsid w:val="004A7D3C"/>
    <w:rsid w:val="004B137F"/>
    <w:rsid w:val="004B5B67"/>
    <w:rsid w:val="004C37C2"/>
    <w:rsid w:val="004D4BFF"/>
    <w:rsid w:val="004E5FEB"/>
    <w:rsid w:val="004F3504"/>
    <w:rsid w:val="004F3523"/>
    <w:rsid w:val="004F3724"/>
    <w:rsid w:val="004F67F2"/>
    <w:rsid w:val="00507707"/>
    <w:rsid w:val="005104D0"/>
    <w:rsid w:val="00521CF1"/>
    <w:rsid w:val="00526A53"/>
    <w:rsid w:val="00526C44"/>
    <w:rsid w:val="005316A9"/>
    <w:rsid w:val="00544E95"/>
    <w:rsid w:val="00546611"/>
    <w:rsid w:val="0055395F"/>
    <w:rsid w:val="00557CB0"/>
    <w:rsid w:val="00564BDA"/>
    <w:rsid w:val="005719D7"/>
    <w:rsid w:val="00575F88"/>
    <w:rsid w:val="005964DE"/>
    <w:rsid w:val="005970B3"/>
    <w:rsid w:val="00597EBB"/>
    <w:rsid w:val="005A1F4F"/>
    <w:rsid w:val="005A6DFD"/>
    <w:rsid w:val="005A7632"/>
    <w:rsid w:val="005D4FA9"/>
    <w:rsid w:val="005E54B6"/>
    <w:rsid w:val="005F0D00"/>
    <w:rsid w:val="005F4FA5"/>
    <w:rsid w:val="0060316D"/>
    <w:rsid w:val="006056C0"/>
    <w:rsid w:val="006211BF"/>
    <w:rsid w:val="0062138B"/>
    <w:rsid w:val="00632E1F"/>
    <w:rsid w:val="00637E67"/>
    <w:rsid w:val="006429DD"/>
    <w:rsid w:val="0064330F"/>
    <w:rsid w:val="00644660"/>
    <w:rsid w:val="00645F56"/>
    <w:rsid w:val="0066496D"/>
    <w:rsid w:val="0067113A"/>
    <w:rsid w:val="00685971"/>
    <w:rsid w:val="00685D1E"/>
    <w:rsid w:val="00695E83"/>
    <w:rsid w:val="006A29E3"/>
    <w:rsid w:val="006A6232"/>
    <w:rsid w:val="006B3CE0"/>
    <w:rsid w:val="006C0B63"/>
    <w:rsid w:val="006C6E12"/>
    <w:rsid w:val="006D17FC"/>
    <w:rsid w:val="006D4972"/>
    <w:rsid w:val="006D7B31"/>
    <w:rsid w:val="006F044D"/>
    <w:rsid w:val="007063C0"/>
    <w:rsid w:val="00710DB4"/>
    <w:rsid w:val="00713014"/>
    <w:rsid w:val="007176AA"/>
    <w:rsid w:val="0072121E"/>
    <w:rsid w:val="00723564"/>
    <w:rsid w:val="00736B7D"/>
    <w:rsid w:val="007410D9"/>
    <w:rsid w:val="00746E24"/>
    <w:rsid w:val="00753A34"/>
    <w:rsid w:val="00761278"/>
    <w:rsid w:val="007739B8"/>
    <w:rsid w:val="00773BFE"/>
    <w:rsid w:val="0077485D"/>
    <w:rsid w:val="00774E66"/>
    <w:rsid w:val="00775F12"/>
    <w:rsid w:val="00776F06"/>
    <w:rsid w:val="00790C78"/>
    <w:rsid w:val="00797501"/>
    <w:rsid w:val="007A1426"/>
    <w:rsid w:val="007B162F"/>
    <w:rsid w:val="007B22B1"/>
    <w:rsid w:val="007B2FBB"/>
    <w:rsid w:val="007B3185"/>
    <w:rsid w:val="007B7F8E"/>
    <w:rsid w:val="007C0068"/>
    <w:rsid w:val="007C12DF"/>
    <w:rsid w:val="007C2F5A"/>
    <w:rsid w:val="007C66C3"/>
    <w:rsid w:val="007D5D06"/>
    <w:rsid w:val="007F082C"/>
    <w:rsid w:val="007F0CB7"/>
    <w:rsid w:val="007F1047"/>
    <w:rsid w:val="007F4528"/>
    <w:rsid w:val="00805891"/>
    <w:rsid w:val="00806097"/>
    <w:rsid w:val="00814082"/>
    <w:rsid w:val="008148B3"/>
    <w:rsid w:val="008242CB"/>
    <w:rsid w:val="00826E54"/>
    <w:rsid w:val="00826EBC"/>
    <w:rsid w:val="00832739"/>
    <w:rsid w:val="00846BAE"/>
    <w:rsid w:val="0085041A"/>
    <w:rsid w:val="00857918"/>
    <w:rsid w:val="0086410F"/>
    <w:rsid w:val="00867F1C"/>
    <w:rsid w:val="00870602"/>
    <w:rsid w:val="00883D5D"/>
    <w:rsid w:val="00885AA9"/>
    <w:rsid w:val="00890B55"/>
    <w:rsid w:val="008A02E1"/>
    <w:rsid w:val="008A4B9E"/>
    <w:rsid w:val="008B2D88"/>
    <w:rsid w:val="008B326A"/>
    <w:rsid w:val="008B4F47"/>
    <w:rsid w:val="008C0796"/>
    <w:rsid w:val="008C678B"/>
    <w:rsid w:val="008E42CD"/>
    <w:rsid w:val="008F1E61"/>
    <w:rsid w:val="00903238"/>
    <w:rsid w:val="00905467"/>
    <w:rsid w:val="00905506"/>
    <w:rsid w:val="00906CB2"/>
    <w:rsid w:val="009212DB"/>
    <w:rsid w:val="009224BA"/>
    <w:rsid w:val="00927BEC"/>
    <w:rsid w:val="00934FD7"/>
    <w:rsid w:val="00935147"/>
    <w:rsid w:val="00936499"/>
    <w:rsid w:val="00947AFD"/>
    <w:rsid w:val="00952EC7"/>
    <w:rsid w:val="00963910"/>
    <w:rsid w:val="00964B40"/>
    <w:rsid w:val="0097507C"/>
    <w:rsid w:val="00990A84"/>
    <w:rsid w:val="00993875"/>
    <w:rsid w:val="009A2CCC"/>
    <w:rsid w:val="009A362E"/>
    <w:rsid w:val="009B1CC3"/>
    <w:rsid w:val="009B3C22"/>
    <w:rsid w:val="009B550B"/>
    <w:rsid w:val="009B6590"/>
    <w:rsid w:val="009C0E6E"/>
    <w:rsid w:val="009C0E72"/>
    <w:rsid w:val="009C3387"/>
    <w:rsid w:val="009D2962"/>
    <w:rsid w:val="009D55E4"/>
    <w:rsid w:val="009E274E"/>
    <w:rsid w:val="009E4E61"/>
    <w:rsid w:val="009F05AA"/>
    <w:rsid w:val="009F26FE"/>
    <w:rsid w:val="009F4102"/>
    <w:rsid w:val="00A06D56"/>
    <w:rsid w:val="00A07381"/>
    <w:rsid w:val="00A1246D"/>
    <w:rsid w:val="00A14B32"/>
    <w:rsid w:val="00A14C30"/>
    <w:rsid w:val="00A22EED"/>
    <w:rsid w:val="00A302B5"/>
    <w:rsid w:val="00A3229D"/>
    <w:rsid w:val="00A327FF"/>
    <w:rsid w:val="00A36EF1"/>
    <w:rsid w:val="00A423B9"/>
    <w:rsid w:val="00A43212"/>
    <w:rsid w:val="00A45E06"/>
    <w:rsid w:val="00A55E6C"/>
    <w:rsid w:val="00A62722"/>
    <w:rsid w:val="00A63832"/>
    <w:rsid w:val="00A64D9A"/>
    <w:rsid w:val="00A73E4F"/>
    <w:rsid w:val="00A9423B"/>
    <w:rsid w:val="00AA4AA4"/>
    <w:rsid w:val="00AA7D0A"/>
    <w:rsid w:val="00AB00AE"/>
    <w:rsid w:val="00AB20CE"/>
    <w:rsid w:val="00AD2897"/>
    <w:rsid w:val="00AD435E"/>
    <w:rsid w:val="00AD4E5D"/>
    <w:rsid w:val="00AD6433"/>
    <w:rsid w:val="00AD64B7"/>
    <w:rsid w:val="00AD6894"/>
    <w:rsid w:val="00AE11A9"/>
    <w:rsid w:val="00AE1A70"/>
    <w:rsid w:val="00AE7A48"/>
    <w:rsid w:val="00AF2D1A"/>
    <w:rsid w:val="00AF6866"/>
    <w:rsid w:val="00AF71B3"/>
    <w:rsid w:val="00B02008"/>
    <w:rsid w:val="00B23D02"/>
    <w:rsid w:val="00B31F10"/>
    <w:rsid w:val="00B34983"/>
    <w:rsid w:val="00B35881"/>
    <w:rsid w:val="00B46BCE"/>
    <w:rsid w:val="00B50352"/>
    <w:rsid w:val="00B60153"/>
    <w:rsid w:val="00B6076D"/>
    <w:rsid w:val="00B62E1B"/>
    <w:rsid w:val="00B63E64"/>
    <w:rsid w:val="00B653C4"/>
    <w:rsid w:val="00B66EC2"/>
    <w:rsid w:val="00B67D5C"/>
    <w:rsid w:val="00B73502"/>
    <w:rsid w:val="00B96F3E"/>
    <w:rsid w:val="00B97C90"/>
    <w:rsid w:val="00BA0E61"/>
    <w:rsid w:val="00BA27AE"/>
    <w:rsid w:val="00BA4CD0"/>
    <w:rsid w:val="00BC1452"/>
    <w:rsid w:val="00BC4C68"/>
    <w:rsid w:val="00BC6A4C"/>
    <w:rsid w:val="00BD29A7"/>
    <w:rsid w:val="00BD70B1"/>
    <w:rsid w:val="00BE643A"/>
    <w:rsid w:val="00BE6A4F"/>
    <w:rsid w:val="00BE72B6"/>
    <w:rsid w:val="00BF1E1C"/>
    <w:rsid w:val="00BF240F"/>
    <w:rsid w:val="00BF32C0"/>
    <w:rsid w:val="00BF399A"/>
    <w:rsid w:val="00C0116A"/>
    <w:rsid w:val="00C02352"/>
    <w:rsid w:val="00C04BE8"/>
    <w:rsid w:val="00C1365E"/>
    <w:rsid w:val="00C30788"/>
    <w:rsid w:val="00C33BF8"/>
    <w:rsid w:val="00C404AC"/>
    <w:rsid w:val="00C54B07"/>
    <w:rsid w:val="00C56558"/>
    <w:rsid w:val="00C662A7"/>
    <w:rsid w:val="00C75C44"/>
    <w:rsid w:val="00C76E7C"/>
    <w:rsid w:val="00C8407D"/>
    <w:rsid w:val="00C87A5D"/>
    <w:rsid w:val="00C90026"/>
    <w:rsid w:val="00C90F1B"/>
    <w:rsid w:val="00CA61EC"/>
    <w:rsid w:val="00CB2526"/>
    <w:rsid w:val="00CB33B5"/>
    <w:rsid w:val="00CE7B88"/>
    <w:rsid w:val="00CE7DE0"/>
    <w:rsid w:val="00CF2735"/>
    <w:rsid w:val="00CF7C2B"/>
    <w:rsid w:val="00D03103"/>
    <w:rsid w:val="00D061F5"/>
    <w:rsid w:val="00D13D0C"/>
    <w:rsid w:val="00D2587C"/>
    <w:rsid w:val="00D577DF"/>
    <w:rsid w:val="00D6020E"/>
    <w:rsid w:val="00D62C2B"/>
    <w:rsid w:val="00D90533"/>
    <w:rsid w:val="00D9181B"/>
    <w:rsid w:val="00D9387A"/>
    <w:rsid w:val="00DA547E"/>
    <w:rsid w:val="00DA7BFC"/>
    <w:rsid w:val="00DB0BCB"/>
    <w:rsid w:val="00DB3C1A"/>
    <w:rsid w:val="00DC02D7"/>
    <w:rsid w:val="00DC438B"/>
    <w:rsid w:val="00DD3B26"/>
    <w:rsid w:val="00DD550B"/>
    <w:rsid w:val="00DE089C"/>
    <w:rsid w:val="00DE158A"/>
    <w:rsid w:val="00DE4C26"/>
    <w:rsid w:val="00DF090E"/>
    <w:rsid w:val="00DF1E37"/>
    <w:rsid w:val="00DF2FA0"/>
    <w:rsid w:val="00DF4F0F"/>
    <w:rsid w:val="00DF7B1F"/>
    <w:rsid w:val="00E0341E"/>
    <w:rsid w:val="00E05C3F"/>
    <w:rsid w:val="00E0634C"/>
    <w:rsid w:val="00E129BF"/>
    <w:rsid w:val="00E3171F"/>
    <w:rsid w:val="00E4202C"/>
    <w:rsid w:val="00E47754"/>
    <w:rsid w:val="00E47D86"/>
    <w:rsid w:val="00E521DE"/>
    <w:rsid w:val="00E61C22"/>
    <w:rsid w:val="00E6279E"/>
    <w:rsid w:val="00E62D52"/>
    <w:rsid w:val="00E67077"/>
    <w:rsid w:val="00E70E5A"/>
    <w:rsid w:val="00E71BAE"/>
    <w:rsid w:val="00E754EC"/>
    <w:rsid w:val="00E75522"/>
    <w:rsid w:val="00E763EE"/>
    <w:rsid w:val="00E937C8"/>
    <w:rsid w:val="00EA0371"/>
    <w:rsid w:val="00EA0A54"/>
    <w:rsid w:val="00EB1C60"/>
    <w:rsid w:val="00EB2A5D"/>
    <w:rsid w:val="00EB52DB"/>
    <w:rsid w:val="00EC31C8"/>
    <w:rsid w:val="00ED4D28"/>
    <w:rsid w:val="00EE0048"/>
    <w:rsid w:val="00EE132F"/>
    <w:rsid w:val="00EE6AE4"/>
    <w:rsid w:val="00EE6BA4"/>
    <w:rsid w:val="00EE6D64"/>
    <w:rsid w:val="00EE7FDC"/>
    <w:rsid w:val="00F072A1"/>
    <w:rsid w:val="00F10DDF"/>
    <w:rsid w:val="00F1279C"/>
    <w:rsid w:val="00F13C38"/>
    <w:rsid w:val="00F175E1"/>
    <w:rsid w:val="00F2003E"/>
    <w:rsid w:val="00F3124B"/>
    <w:rsid w:val="00F3209A"/>
    <w:rsid w:val="00F3493E"/>
    <w:rsid w:val="00F56533"/>
    <w:rsid w:val="00F6177B"/>
    <w:rsid w:val="00F707EA"/>
    <w:rsid w:val="00F716A2"/>
    <w:rsid w:val="00F87B63"/>
    <w:rsid w:val="00F9099C"/>
    <w:rsid w:val="00F95730"/>
    <w:rsid w:val="00FA4A2C"/>
    <w:rsid w:val="00FB3B86"/>
    <w:rsid w:val="00FC234B"/>
    <w:rsid w:val="00FC3648"/>
    <w:rsid w:val="00FD4909"/>
    <w:rsid w:val="00FE0FFA"/>
    <w:rsid w:val="00FE2E54"/>
    <w:rsid w:val="00FF47A8"/>
    <w:rsid w:val="00FF679D"/>
    <w:rsid w:val="00FF6A24"/>
    <w:rsid w:val="00FF7169"/>
    <w:rsid w:val="05E66935"/>
    <w:rsid w:val="3BE1E39E"/>
    <w:rsid w:val="3BEFC476"/>
    <w:rsid w:val="53E29BDD"/>
    <w:rsid w:val="5C10DE03"/>
    <w:rsid w:val="76A3D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C9917F"/>
  <w15:chartTrackingRefBased/>
  <w15:docId w15:val="{64C0FA95-8CC0-4D22-B8B7-016C2DFC4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7A48"/>
    <w:pPr>
      <w:widowControl w:val="0"/>
      <w:wordWrap w:val="0"/>
      <w:autoSpaceDE w:val="0"/>
      <w:autoSpaceDN w:val="0"/>
    </w:pPr>
  </w:style>
  <w:style w:type="paragraph" w:styleId="Ttulo4">
    <w:name w:val="heading 4"/>
    <w:basedOn w:val="Normal"/>
    <w:link w:val="Ttulo4Car"/>
    <w:uiPriority w:val="9"/>
    <w:qFormat/>
    <w:rsid w:val="00486ADD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3"/>
    </w:pPr>
    <w:rPr>
      <w:rFonts w:ascii="Gulim" w:eastAsia="Gulim" w:hAnsi="Gulim" w:cs="Gulim"/>
      <w:b/>
      <w:bCs/>
      <w:kern w:val="0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7DAB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267DAB"/>
  </w:style>
  <w:style w:type="paragraph" w:styleId="Piedepgina">
    <w:name w:val="footer"/>
    <w:basedOn w:val="Normal"/>
    <w:link w:val="PiedepginaCar"/>
    <w:uiPriority w:val="99"/>
    <w:unhideWhenUsed/>
    <w:rsid w:val="00267DAB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7DAB"/>
  </w:style>
  <w:style w:type="character" w:styleId="Hipervnculo">
    <w:name w:val="Hyperlink"/>
    <w:basedOn w:val="Fuentedeprrafopredeter"/>
    <w:uiPriority w:val="99"/>
    <w:unhideWhenUsed/>
    <w:rsid w:val="00EC31C8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0E6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0E6E"/>
    <w:rPr>
      <w:rFonts w:asciiTheme="majorHAnsi" w:eastAsiaTheme="majorEastAsia" w:hAnsiTheme="majorHAnsi" w:cstheme="majorBid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A69E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486ADD"/>
    <w:rPr>
      <w:rFonts w:ascii="Gulim" w:eastAsia="Gulim" w:hAnsi="Gulim" w:cs="Gulim"/>
      <w:b/>
      <w:bCs/>
      <w:kern w:val="0"/>
      <w:sz w:val="24"/>
      <w:szCs w:val="24"/>
    </w:rPr>
  </w:style>
  <w:style w:type="paragraph" w:styleId="Sinespaciado">
    <w:name w:val="No Spacing"/>
    <w:uiPriority w:val="1"/>
    <w:qFormat/>
    <w:rsid w:val="00AD2897"/>
    <w:pPr>
      <w:spacing w:after="0" w:line="240" w:lineRule="auto"/>
      <w:jc w:val="left"/>
    </w:pPr>
    <w:rPr>
      <w:kern w:val="0"/>
      <w:sz w:val="22"/>
      <w:lang w:val="en-GB"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64330F"/>
    <w:rPr>
      <w:color w:val="605E5C"/>
      <w:shd w:val="clear" w:color="auto" w:fill="E1DFDD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E4E61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E4E61"/>
    <w:rPr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9E4E61"/>
    <w:rPr>
      <w:sz w:val="16"/>
      <w:szCs w:val="16"/>
    </w:rPr>
  </w:style>
  <w:style w:type="paragraph" w:customStyle="1" w:styleId="Default">
    <w:name w:val="Default"/>
    <w:rsid w:val="0072121E"/>
    <w:pPr>
      <w:autoSpaceDE w:val="0"/>
      <w:autoSpaceDN w:val="0"/>
      <w:adjustRightInd w:val="0"/>
      <w:spacing w:after="0" w:line="240" w:lineRule="auto"/>
      <w:jc w:val="left"/>
    </w:pPr>
    <w:rPr>
      <w:rFonts w:ascii="Lexend" w:hAnsi="Lexend" w:cs="Lexend"/>
      <w:color w:val="000000"/>
      <w:kern w:val="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7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https://www.robisa.es/shop/67-samyang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robisa.es/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s://www.robisa.es/samyang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yperlink" Target="https://www.facebook.com/RobisaIberia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hyperlink" Target="https://www.facebook.com/objetivossamyangiberia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yperlink" Target="https://x.com/ROBIS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6D2CE0-3945-4DEF-A80E-FD2710BF5AA5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2.xml><?xml version="1.0" encoding="utf-8"?>
<ds:datastoreItem xmlns:ds="http://schemas.openxmlformats.org/officeDocument/2006/customXml" ds:itemID="{FDBDAADC-FFC3-4D46-9EBB-4E033F28CD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F5F5BE-B6ED-44EF-8821-D23B182E49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02580F-4705-41A5-98D5-D4BFB19172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5774</TotalTime>
  <Pages>6</Pages>
  <Words>1156</Words>
  <Characters>6472</Characters>
  <Application>Microsoft Office Word</Application>
  <DocSecurity>0</DocSecurity>
  <Lines>53</Lines>
  <Paragraphs>15</Paragraphs>
  <ScaleCrop>false</ScaleCrop>
  <Company/>
  <LinksUpToDate>false</LinksUpToDate>
  <CharactersWithSpaces>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Sein Yoon</dc:creator>
  <cp:keywords/>
  <dc:description/>
  <cp:lastModifiedBy>Andrea Velez</cp:lastModifiedBy>
  <cp:revision>87</cp:revision>
  <cp:lastPrinted>2023-08-29T14:18:00Z</cp:lastPrinted>
  <dcterms:created xsi:type="dcterms:W3CDTF">2024-11-28T09:03:00Z</dcterms:created>
  <dcterms:modified xsi:type="dcterms:W3CDTF">2024-12-04T12:25:00Z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898df390-2c04-43df-a68a-c0dbd4f9e770</vt:lpwstr>
  </property>
  <property fmtid="{D5CDD505-2E9C-101B-9397-08002B2CF9AE}" pid="3" name="ContentTypeId">
    <vt:lpwstr>0x010100BE40F9E4686AAB4F8179A0674F8D61F5</vt:lpwstr>
  </property>
  <property fmtid="{D5CDD505-2E9C-101B-9397-08002B2CF9AE}" pid="4" name="MediaServiceImageTags">
    <vt:lpwstr/>
  </property>
  <property fmtid="{D5CDD505-2E9C-101B-9397-08002B2CF9AE}" pid="5" name="Peso archivo">
    <vt:lpwstr/>
  </property>
  <property fmtid="{D5CDD505-2E9C-101B-9397-08002B2CF9AE}" pid="6" name="Peso_x0020_archivo">
    <vt:lpwstr/>
  </property>
</Properties>
</file>