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3A0AA" w14:textId="77777777" w:rsidR="009B6B0A" w:rsidRDefault="009B6B0A" w:rsidP="007772F0">
      <w:pPr>
        <w:jc w:val="right"/>
        <w:rPr>
          <w:rFonts w:eastAsiaTheme="minorHAnsi" w:cs="Arial"/>
          <w:color w:val="000000" w:themeColor="text1"/>
          <w:szCs w:val="20"/>
          <w:lang w:val="es-ES"/>
        </w:rPr>
      </w:pPr>
    </w:p>
    <w:p w14:paraId="6A53C7CA" w14:textId="77777777" w:rsidR="00B22065" w:rsidRPr="00B22065" w:rsidRDefault="00B22065" w:rsidP="00FF4C8B">
      <w:pPr>
        <w:jc w:val="center"/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BenQ presenta el soporte de monitor ergonómico BSH01 para mejorar la comodidad y productividad en el espacio de trabajo</w:t>
      </w:r>
    </w:p>
    <w:p w14:paraId="5F963F87" w14:textId="5B0711DE" w:rsidR="00FF4C8B" w:rsidRDefault="00B22065" w:rsidP="00FF4C8B">
      <w:pPr>
        <w:jc w:val="right"/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Madrid, 11 de marzo de 2025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</w:t>
      </w:r>
    </w:p>
    <w:p w14:paraId="2B2487E5" w14:textId="01F99A04" w:rsidR="00B22065" w:rsidRPr="00B22065" w:rsidRDefault="00B22065" w:rsidP="00B22065">
      <w:pPr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BenQ, líder en innovación y tecnología de pantallas, anuncia el lanzamiento de su nuevo soporte ergonómico para monitores, el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BenQ Ergo Arm BSH01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>. Diseñado para optimizar la experiencia de trabajo, este brazo ajustable permite una integración sin complicaciones con una amplia gama de monitores y proporciona estabilidad, comodidad y orden en el escritorio.</w:t>
      </w:r>
    </w:p>
    <w:p w14:paraId="337E2B2B" w14:textId="77777777" w:rsidR="00B22065" w:rsidRPr="00B22065" w:rsidRDefault="00B22065" w:rsidP="00B22065">
      <w:pPr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El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BSH01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es compatible con monitores de hasta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45 pulgadas y un peso de 2 a 20 kg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adaptándose a los estándares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VESA 75x75 mm y 100x100 mm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. Su estructura robusta, combinada con una inclinación optimizada y un amortiguador de gas probado para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25.000 ciclos de uso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>, permite movimientos suaves y precisos sin oscilaciones, garantizando una experiencia ergonómica superior.</w:t>
      </w:r>
    </w:p>
    <w:p w14:paraId="0A4AD555" w14:textId="77777777" w:rsidR="00B22065" w:rsidRPr="00B22065" w:rsidRDefault="00B22065" w:rsidP="00B22065">
      <w:pPr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Además, este soporte ha sido diseñado pensando en la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protección del escritorio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incorporando una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placa de refuerzo de acero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que evita arañazos y deformaciones en superficies de vidrio y otros materiales delicados. Su sistema de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instalación rápida y sencilla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mediante una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abrazadera en C superior o pasamuros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junto con su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placa VESA de liberación rápida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>, simplifica el proceso de montaje y ajuste.</w:t>
      </w:r>
    </w:p>
    <w:p w14:paraId="73E6E702" w14:textId="77777777" w:rsidR="00B22065" w:rsidRPr="00B22065" w:rsidRDefault="00B22065" w:rsidP="00B22065">
      <w:pPr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El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BenQ Ergo Arm BSH01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permite un rango completo de movimientos, con una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extensión de hasta 22,4 pulgadas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inclinación de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+50° a -20°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giro de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180°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rotación de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360°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y una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altura ajustable entre 8,7 y 18,7 pulgadas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. Además, cuenta con un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sistema de gestión de cables integrado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>, contribuyendo a mantener un espacio de trabajo ordenado y libre de enredos.</w:t>
      </w:r>
    </w:p>
    <w:p w14:paraId="7C391C5A" w14:textId="77777777" w:rsidR="00B22065" w:rsidRPr="00B22065" w:rsidRDefault="00B22065" w:rsidP="00B22065">
      <w:pPr>
        <w:rPr>
          <w:rFonts w:eastAsiaTheme="minorHAnsi" w:cs="Arial"/>
          <w:b/>
          <w:bCs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Características principales:</w:t>
      </w:r>
    </w:p>
    <w:p w14:paraId="3601A6CD" w14:textId="77777777" w:rsidR="00B22065" w:rsidRPr="00B22065" w:rsidRDefault="00B22065" w:rsidP="00B22065">
      <w:pPr>
        <w:numPr>
          <w:ilvl w:val="0"/>
          <w:numId w:val="2"/>
        </w:numPr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Compatibilidad universal: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Soporta monitores de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hasta 45 pulgadas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y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2 a 20 kg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con soporte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VESA 75x75 mm y 100x100 mm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. Compatible con monitores de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BenQ, HP, Dell, Samsung, LG, Asus y Acer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además de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cámaras web y barras de luz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>.</w:t>
      </w:r>
    </w:p>
    <w:p w14:paraId="7868D4EB" w14:textId="77777777" w:rsidR="00B22065" w:rsidRPr="00B22065" w:rsidRDefault="00B22065" w:rsidP="00B22065">
      <w:pPr>
        <w:numPr>
          <w:ilvl w:val="0"/>
          <w:numId w:val="2"/>
        </w:numPr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Estructura robusta y estable: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Su diseño con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resorte de gas probado para 25.000 ciclos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ofrece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soporte fiable y sin tambaleos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>, garantizando durabilidad y estabilidad a largo plazo.</w:t>
      </w:r>
    </w:p>
    <w:p w14:paraId="68BD4264" w14:textId="77777777" w:rsidR="00B22065" w:rsidRPr="00B22065" w:rsidRDefault="00B22065" w:rsidP="00B22065">
      <w:pPr>
        <w:numPr>
          <w:ilvl w:val="0"/>
          <w:numId w:val="2"/>
        </w:numPr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Protección del escritorio: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Placa de refuerzo de acero que protege superficies delicadas, evitando daños y arañazos.</w:t>
      </w:r>
    </w:p>
    <w:p w14:paraId="3FA8DC75" w14:textId="77777777" w:rsidR="00B22065" w:rsidRPr="00B22065" w:rsidRDefault="00B22065" w:rsidP="00B22065">
      <w:pPr>
        <w:numPr>
          <w:ilvl w:val="0"/>
          <w:numId w:val="2"/>
        </w:numPr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Instalación sencilla y rápida: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Opción de montaje mediante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abrazadera en C superior o pasamuros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. El embalaje optimizado facilita el ensamblaje, y la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placa VESA de liberación rápida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lastRenderedPageBreak/>
        <w:t>agiliza los ajustes.</w:t>
      </w:r>
    </w:p>
    <w:p w14:paraId="4C1E3E15" w14:textId="77777777" w:rsidR="00B22065" w:rsidRPr="00B22065" w:rsidRDefault="00B22065" w:rsidP="00B22065">
      <w:pPr>
        <w:numPr>
          <w:ilvl w:val="0"/>
          <w:numId w:val="2"/>
        </w:numPr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Movimiento total y ajuste flexible: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Brazo ajustable con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extensión de 22,4 pulgadas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inclinación de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+50° a -20°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giro de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180°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rotación de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360°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y altura regulable de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8,7 a 18,7 pulgadas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>.</w:t>
      </w:r>
    </w:p>
    <w:p w14:paraId="3F4093B4" w14:textId="77777777" w:rsidR="00B22065" w:rsidRPr="00B22065" w:rsidRDefault="00B22065" w:rsidP="00B22065">
      <w:pPr>
        <w:numPr>
          <w:ilvl w:val="0"/>
          <w:numId w:val="2"/>
        </w:numPr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Gestión de cables integrada: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Mantiene el escritorio limpio y organizado, evitando enredos.</w:t>
      </w:r>
    </w:p>
    <w:p w14:paraId="780DA214" w14:textId="53E23262" w:rsidR="00F236F6" w:rsidRPr="00F236F6" w:rsidRDefault="00B22065" w:rsidP="00B22065">
      <w:pPr>
        <w:rPr>
          <w:rFonts w:eastAsiaTheme="minorHAnsi" w:cs="Arial"/>
          <w:color w:val="000000" w:themeColor="text1"/>
          <w:szCs w:val="20"/>
          <w:lang w:val="es-ES"/>
        </w:rPr>
      </w:pP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Con el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BenQ Ergo Arm BSH01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, la marca reafirma su compromiso con la </w:t>
      </w:r>
      <w:r w:rsidRPr="00B22065">
        <w:rPr>
          <w:rFonts w:eastAsiaTheme="minorHAnsi" w:cs="Arial"/>
          <w:b/>
          <w:bCs/>
          <w:color w:val="000000" w:themeColor="text1"/>
          <w:szCs w:val="20"/>
          <w:lang w:val="es-ES"/>
        </w:rPr>
        <w:t>innovación y la ergonomía</w:t>
      </w:r>
      <w:r w:rsidRPr="00B22065">
        <w:rPr>
          <w:rFonts w:eastAsiaTheme="minorHAnsi" w:cs="Arial"/>
          <w:color w:val="000000" w:themeColor="text1"/>
          <w:szCs w:val="20"/>
          <w:lang w:val="es-ES"/>
        </w:rPr>
        <w:t xml:space="preserve"> en los espacios de trabajo, ofreciendo una solución elegante, resistente y fácil de instalar para mejorar la comodidad y la productividad de los usuarios.</w:t>
      </w:r>
    </w:p>
    <w:p w14:paraId="3E0FCF47" w14:textId="77777777" w:rsidR="00F236F6" w:rsidRPr="00F236F6" w:rsidRDefault="00F236F6" w:rsidP="00F236F6">
      <w:pPr>
        <w:spacing w:before="120" w:line="360" w:lineRule="auto"/>
        <w:rPr>
          <w:rFonts w:ascii="Calibri" w:hAnsi="Calibri" w:cs="Calibri"/>
          <w:b/>
          <w:bCs/>
          <w:sz w:val="22"/>
          <w:lang w:val="es-ES"/>
        </w:rPr>
      </w:pPr>
      <w:r w:rsidRPr="00F236F6">
        <w:rPr>
          <w:rFonts w:ascii="Calibri" w:hAnsi="Calibri" w:cs="Calibri"/>
          <w:b/>
          <w:bCs/>
          <w:sz w:val="22"/>
          <w:lang w:val="es-ES"/>
        </w:rPr>
        <w:t> </w:t>
      </w:r>
    </w:p>
    <w:p w14:paraId="7F8FB3ED" w14:textId="77777777" w:rsidR="00F236F6" w:rsidRPr="00F236F6" w:rsidRDefault="00F236F6" w:rsidP="00F236F6">
      <w:pPr>
        <w:spacing w:before="120" w:line="360" w:lineRule="auto"/>
        <w:rPr>
          <w:rFonts w:ascii="Calibri" w:hAnsi="Calibri" w:cs="Calibri"/>
          <w:b/>
          <w:bCs/>
          <w:sz w:val="22"/>
          <w:lang w:val="es-ES"/>
        </w:rPr>
      </w:pPr>
      <w:r w:rsidRPr="00F236F6">
        <w:rPr>
          <w:rFonts w:ascii="Calibri" w:hAnsi="Calibri" w:cs="Calibri"/>
          <w:b/>
          <w:bCs/>
          <w:sz w:val="22"/>
          <w:u w:val="single"/>
          <w:lang w:val="es-ES"/>
        </w:rPr>
        <w:t>Especificaciones</w:t>
      </w:r>
      <w:r w:rsidRPr="00F236F6">
        <w:rPr>
          <w:rFonts w:ascii="Calibri" w:hAnsi="Calibri" w:cs="Calibri"/>
          <w:b/>
          <w:bCs/>
          <w:sz w:val="22"/>
          <w:lang w:val="es-ES"/>
        </w:rPr>
        <w:t>:</w:t>
      </w:r>
    </w:p>
    <w:p w14:paraId="13E02821" w14:textId="77777777" w:rsidR="002742AB" w:rsidRPr="002742AB" w:rsidRDefault="002742AB" w:rsidP="002742AB">
      <w:pPr>
        <w:spacing w:before="120" w:line="360" w:lineRule="auto"/>
        <w:rPr>
          <w:rFonts w:ascii="Calibri" w:hAnsi="Calibri" w:cs="Calibri"/>
          <w:b/>
          <w:bCs/>
          <w:sz w:val="22"/>
          <w:lang w:val="es-ES"/>
        </w:rPr>
      </w:pPr>
      <w:r w:rsidRPr="002742AB">
        <w:rPr>
          <w:rFonts w:ascii="Calibri" w:hAnsi="Calibri" w:cs="Calibri"/>
          <w:b/>
          <w:bCs/>
          <w:sz w:val="22"/>
          <w:lang w:val="es-ES"/>
        </w:rPr>
        <w:t> </w:t>
      </w:r>
    </w:p>
    <w:p w14:paraId="67C76A51" w14:textId="508EBCE5" w:rsidR="009B6B0A" w:rsidRDefault="00FF4C8B" w:rsidP="00905CE3">
      <w:pPr>
        <w:spacing w:before="120" w:line="360" w:lineRule="auto"/>
        <w:rPr>
          <w:rFonts w:ascii="Calibri" w:hAnsi="Calibri" w:cs="Calibri"/>
          <w:b/>
          <w:bCs/>
          <w:sz w:val="22"/>
          <w:lang w:val="es-ES"/>
        </w:rPr>
      </w:pPr>
      <w:r w:rsidRPr="00FF4C8B">
        <w:rPr>
          <w:rFonts w:ascii="Calibri" w:hAnsi="Calibri" w:cs="Calibri"/>
          <w:b/>
          <w:bCs/>
          <w:sz w:val="22"/>
          <w:lang w:val="es-ES"/>
        </w:rPr>
        <w:drawing>
          <wp:inline distT="0" distB="0" distL="0" distR="0" wp14:anchorId="0FE73342" wp14:editId="09092E0F">
            <wp:extent cx="5926455" cy="2576830"/>
            <wp:effectExtent l="0" t="0" r="0" b="0"/>
            <wp:docPr id="812260943" name="Imagen 1" descr="Imagen que contiene Interfaz de usuario gráfic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260943" name="Imagen 1" descr="Imagen que contiene Interfaz de usuario gráfica&#10;&#10;El contenido generado por IA puede ser incorrecto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57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42AB" w:rsidRPr="002742AB">
        <w:rPr>
          <w:rFonts w:ascii="Calibri" w:hAnsi="Calibri" w:cs="Calibri"/>
          <w:b/>
          <w:bCs/>
          <w:sz w:val="22"/>
          <w:lang w:val="es-ES"/>
        </w:rPr>
        <w:t>                                                                                                     </w:t>
      </w:r>
    </w:p>
    <w:p w14:paraId="1CA4EE9E" w14:textId="68469D62" w:rsidR="00905CE3" w:rsidRPr="00316279" w:rsidRDefault="00905CE3" w:rsidP="00905CE3">
      <w:pPr>
        <w:spacing w:before="120" w:line="360" w:lineRule="auto"/>
        <w:rPr>
          <w:rFonts w:ascii="Calibri" w:hAnsi="Calibri" w:cs="Calibri"/>
          <w:b/>
          <w:bCs/>
          <w:sz w:val="22"/>
          <w:lang w:val="es-ES"/>
        </w:rPr>
      </w:pPr>
      <w:r w:rsidRPr="00316279">
        <w:rPr>
          <w:rFonts w:ascii="Calibri" w:hAnsi="Calibri" w:cs="Calibri"/>
          <w:b/>
          <w:bCs/>
          <w:sz w:val="22"/>
          <w:lang w:val="es-ES"/>
        </w:rPr>
        <w:t xml:space="preserve">Acerca de BenQ </w:t>
      </w:r>
    </w:p>
    <w:p w14:paraId="78FFCDF5" w14:textId="17934378" w:rsidR="00CC769A" w:rsidRPr="00CF4144" w:rsidRDefault="00CC769A" w:rsidP="00905CE3">
      <w:pPr>
        <w:spacing w:before="120" w:line="360" w:lineRule="auto"/>
        <w:rPr>
          <w:rFonts w:ascii="Calibri" w:hAnsi="Calibri" w:cs="Calibri"/>
          <w:sz w:val="22"/>
          <w:lang w:val="es-ES"/>
        </w:rPr>
      </w:pPr>
      <w:r>
        <w:rPr>
          <w:rFonts w:ascii="Calibri" w:hAnsi="Calibri" w:cs="Calibri"/>
          <w:sz w:val="22"/>
          <w:lang w:val="es-ES"/>
        </w:rPr>
        <w:t xml:space="preserve">BenQ </w:t>
      </w:r>
      <w:r w:rsidRPr="00CC769A">
        <w:rPr>
          <w:rFonts w:ascii="Calibri" w:hAnsi="Calibri" w:cs="Calibri"/>
          <w:sz w:val="22"/>
          <w:lang w:val="es-ES"/>
        </w:rPr>
        <w:t>es una empresa líder en tecnología de pantallas y soluciones visuales, comprometida con el desarrollo de productos innovadores que mejoren la productividad y creatividad de sus usuarios.</w:t>
      </w:r>
    </w:p>
    <w:p w14:paraId="3432BA82" w14:textId="67350B4F" w:rsidR="00905CE3" w:rsidRPr="00316279" w:rsidRDefault="00905CE3" w:rsidP="00905CE3">
      <w:pPr>
        <w:spacing w:before="120" w:line="360" w:lineRule="auto"/>
        <w:rPr>
          <w:rFonts w:ascii="Calibri" w:hAnsi="Calibri" w:cs="Calibri"/>
          <w:b/>
          <w:bCs/>
          <w:sz w:val="22"/>
          <w:lang w:val="es-ES"/>
        </w:rPr>
      </w:pPr>
      <w:r w:rsidRPr="00316279">
        <w:rPr>
          <w:rFonts w:ascii="Calibri" w:hAnsi="Calibri" w:cs="Calibri"/>
          <w:b/>
          <w:bCs/>
          <w:sz w:val="22"/>
          <w:lang w:val="es-ES"/>
        </w:rPr>
        <w:t>Acerca de ROBISA</w:t>
      </w:r>
    </w:p>
    <w:p w14:paraId="16B48F89" w14:textId="327E6675" w:rsidR="00905CE3" w:rsidRPr="00316279" w:rsidRDefault="00905CE3" w:rsidP="00905CE3">
      <w:pPr>
        <w:spacing w:before="120" w:line="360" w:lineRule="auto"/>
        <w:rPr>
          <w:rFonts w:ascii="Calibri" w:hAnsi="Calibri" w:cs="Calibri"/>
          <w:sz w:val="22"/>
          <w:lang w:val="es-ES"/>
        </w:rPr>
      </w:pPr>
      <w:r w:rsidRPr="00316279">
        <w:rPr>
          <w:rFonts w:ascii="Calibri" w:hAnsi="Calibri" w:cs="Calibri"/>
          <w:sz w:val="22"/>
          <w:lang w:val="es-ES"/>
        </w:rPr>
        <w:t>Con 65 años de experiencia, Robisa es líder en la distribución de productos y accesorios fotográficos digitales, vídeo, cine, ópticos y audiovisuales.</w:t>
      </w:r>
      <w:r>
        <w:rPr>
          <w:rFonts w:ascii="Calibri" w:hAnsi="Calibri" w:cs="Calibri"/>
          <w:sz w:val="22"/>
          <w:lang w:val="es-ES"/>
        </w:rPr>
        <w:t xml:space="preserve"> </w:t>
      </w:r>
      <w:r w:rsidRPr="00316279">
        <w:rPr>
          <w:rFonts w:ascii="Calibri" w:hAnsi="Calibri" w:cs="Calibri"/>
          <w:sz w:val="22"/>
          <w:lang w:val="es-ES"/>
        </w:rPr>
        <w:t xml:space="preserve">Robisa, con su equipo de profesionales altamente reconocidos, es distribuidor de marcas como Hasselblad, Tamron, Samyang, Xeen, Kodak, Agfa, Angelbird, </w:t>
      </w:r>
      <w:r w:rsidRPr="00316279">
        <w:rPr>
          <w:rFonts w:ascii="Calibri" w:hAnsi="Calibri" w:cs="Calibri"/>
          <w:sz w:val="22"/>
          <w:lang w:val="es-ES"/>
        </w:rPr>
        <w:lastRenderedPageBreak/>
        <w:t>Peli, Hollyland, Yololiv, PeakDesign, etc</w:t>
      </w:r>
    </w:p>
    <w:p w14:paraId="27F34493" w14:textId="77777777" w:rsidR="00905CE3" w:rsidRPr="00724DC1" w:rsidRDefault="00905CE3" w:rsidP="00905CE3">
      <w:pPr>
        <w:spacing w:line="360" w:lineRule="auto"/>
        <w:rPr>
          <w:rFonts w:ascii="Calibri" w:eastAsia="Malgun Gothic" w:hAnsi="Calibri" w:cs="Calibri"/>
          <w:sz w:val="22"/>
        </w:rPr>
      </w:pPr>
      <w:r w:rsidRPr="00316279">
        <w:rPr>
          <w:rFonts w:ascii="Calibri" w:eastAsia="Malgun Gothic" w:hAnsi="Calibri" w:cs="Calibri"/>
          <w:sz w:val="22"/>
          <w:lang w:val="es-ES"/>
        </w:rPr>
        <w:t xml:space="preserve">Puede encontrar más información sobre Benq en la web oficial, en sus redes sociales y en las de su distribuidor oficial en España, Rodolfo Biber, SA. </w:t>
      </w:r>
      <w:r w:rsidRPr="00724DC1">
        <w:rPr>
          <w:rFonts w:ascii="Calibri" w:eastAsia="Malgun Gothic" w:hAnsi="Calibri" w:cs="Calibri"/>
          <w:sz w:val="22"/>
        </w:rPr>
        <w:t>(Robisa):</w:t>
      </w:r>
    </w:p>
    <w:p w14:paraId="0DE53A1E" w14:textId="2F8E11C8" w:rsidR="00D069AC" w:rsidRPr="00EB77C5" w:rsidRDefault="00905CE3" w:rsidP="00EB77C5">
      <w:pPr>
        <w:spacing w:line="360" w:lineRule="auto"/>
        <w:rPr>
          <w:rFonts w:ascii="Calibri" w:eastAsiaTheme="minorHAnsi" w:hAnsi="Calibri" w:cs="Calibri"/>
          <w:sz w:val="22"/>
        </w:rPr>
      </w:pPr>
      <w:r w:rsidRPr="00724DC1">
        <w:rPr>
          <w:rFonts w:ascii="Calibri" w:eastAsiaTheme="minorHAnsi" w:hAnsi="Calibri" w:cs="Calibri"/>
          <w:sz w:val="22"/>
        </w:rPr>
        <w:t xml:space="preserve">* Web: </w:t>
      </w:r>
      <w:hyperlink r:id="rId12" w:history="1">
        <w:r w:rsidRPr="00724DC1">
          <w:rPr>
            <w:rStyle w:val="Hipervnculo"/>
            <w:rFonts w:ascii="Calibri" w:eastAsiaTheme="minorHAnsi" w:hAnsi="Calibri" w:cs="Calibri"/>
            <w:sz w:val="22"/>
          </w:rPr>
          <w:t>https://www.robisa.es/benq/</w:t>
        </w:r>
      </w:hyperlink>
      <w:r w:rsidRPr="00724DC1">
        <w:rPr>
          <w:rFonts w:ascii="Calibri" w:eastAsiaTheme="minorHAnsi" w:hAnsi="Calibri" w:cs="Calibri"/>
          <w:sz w:val="22"/>
        </w:rPr>
        <w:t xml:space="preserve">  Shop: </w:t>
      </w:r>
      <w:hyperlink r:id="rId13" w:history="1">
        <w:r w:rsidRPr="00724DC1">
          <w:rPr>
            <w:rStyle w:val="Hipervnculo"/>
            <w:rFonts w:ascii="Calibri" w:eastAsiaTheme="minorHAnsi" w:hAnsi="Calibri" w:cs="Calibri"/>
            <w:sz w:val="22"/>
          </w:rPr>
          <w:t>https://www.robisa.es/shop/115-benq-monitores</w:t>
        </w:r>
      </w:hyperlink>
      <w:r w:rsidRPr="00724DC1">
        <w:rPr>
          <w:rFonts w:ascii="Calibri" w:eastAsiaTheme="minorHAnsi" w:hAnsi="Calibri" w:cs="Calibri"/>
          <w:sz w:val="22"/>
        </w:rPr>
        <w:t xml:space="preserve"> </w:t>
      </w:r>
      <w:r w:rsidRPr="00724DC1">
        <w:rPr>
          <w:rFonts w:ascii="Calibri" w:eastAsiaTheme="minorHAnsi" w:hAnsi="Calibri" w:cs="Calibri"/>
          <w:sz w:val="22"/>
        </w:rPr>
        <w:br/>
        <w:t xml:space="preserve">* Facebook: </w:t>
      </w:r>
      <w:hyperlink r:id="rId14" w:history="1">
        <w:r w:rsidRPr="00724DC1">
          <w:rPr>
            <w:rStyle w:val="Hipervnculo"/>
            <w:rFonts w:ascii="Calibri" w:eastAsiaTheme="minorHAnsi" w:hAnsi="Calibri" w:cs="Calibri"/>
            <w:sz w:val="22"/>
          </w:rPr>
          <w:t>@robisa</w:t>
        </w:r>
      </w:hyperlink>
      <w:r w:rsidRPr="00724DC1">
        <w:rPr>
          <w:rFonts w:ascii="Calibri" w:eastAsiaTheme="minorHAnsi" w:hAnsi="Calibri" w:cs="Calibri"/>
          <w:sz w:val="22"/>
        </w:rPr>
        <w:br/>
        <w:t xml:space="preserve">* Instagram: </w:t>
      </w:r>
      <w:hyperlink r:id="rId15" w:history="1">
        <w:r w:rsidRPr="00724DC1">
          <w:rPr>
            <w:rStyle w:val="Hipervnculo"/>
            <w:rFonts w:ascii="Calibri" w:eastAsiaTheme="minorHAnsi" w:hAnsi="Calibri" w:cs="Calibri"/>
            <w:sz w:val="22"/>
          </w:rPr>
          <w:t>@robisa</w:t>
        </w:r>
      </w:hyperlink>
      <w:r w:rsidRPr="00724DC1">
        <w:rPr>
          <w:rFonts w:ascii="Calibri" w:eastAsiaTheme="minorHAnsi" w:hAnsi="Calibri" w:cs="Calibri"/>
          <w:sz w:val="22"/>
        </w:rPr>
        <w:br/>
        <w:t xml:space="preserve">* </w:t>
      </w:r>
      <w:r w:rsidR="00CF4144">
        <w:rPr>
          <w:rFonts w:ascii="Calibri" w:eastAsiaTheme="minorHAnsi" w:hAnsi="Calibri" w:cs="Calibri"/>
          <w:sz w:val="22"/>
        </w:rPr>
        <w:t>X</w:t>
      </w:r>
      <w:r w:rsidRPr="00724DC1">
        <w:rPr>
          <w:rFonts w:ascii="Calibri" w:eastAsiaTheme="minorHAnsi" w:hAnsi="Calibri" w:cs="Calibri"/>
          <w:sz w:val="22"/>
        </w:rPr>
        <w:t xml:space="preserve">: </w:t>
      </w:r>
      <w:hyperlink r:id="rId16" w:history="1">
        <w:r w:rsidRPr="00724DC1">
          <w:rPr>
            <w:rStyle w:val="Hipervnculo"/>
            <w:rFonts w:ascii="Calibri" w:eastAsiaTheme="minorHAnsi" w:hAnsi="Calibri" w:cs="Calibri"/>
            <w:sz w:val="22"/>
          </w:rPr>
          <w:t>@robisa</w:t>
        </w:r>
      </w:hyperlink>
    </w:p>
    <w:p w14:paraId="6B50547E" w14:textId="77777777" w:rsidR="00D069AC" w:rsidRPr="00905CE3" w:rsidRDefault="00D069AC" w:rsidP="003230DE">
      <w:pPr>
        <w:jc w:val="center"/>
        <w:rPr>
          <w:rFonts w:eastAsiaTheme="minorHAnsi" w:cs="Arial"/>
          <w:b/>
          <w:color w:val="000000" w:themeColor="text1"/>
          <w:szCs w:val="20"/>
        </w:rPr>
      </w:pPr>
    </w:p>
    <w:p w14:paraId="075B4908" w14:textId="77777777" w:rsidR="00D069AC" w:rsidRPr="00905CE3" w:rsidRDefault="00D069AC" w:rsidP="00EB77C5">
      <w:pPr>
        <w:rPr>
          <w:rFonts w:eastAsiaTheme="minorHAnsi" w:cs="Arial"/>
          <w:b/>
          <w:color w:val="000000" w:themeColor="text1"/>
          <w:szCs w:val="20"/>
        </w:rPr>
      </w:pPr>
    </w:p>
    <w:p w14:paraId="30950A59" w14:textId="60ADF05D" w:rsidR="00A14C30" w:rsidRDefault="00A14C30">
      <w:pPr>
        <w:rPr>
          <w:rFonts w:eastAsiaTheme="minorHAnsi"/>
          <w:color w:val="000000" w:themeColor="text1"/>
          <w:szCs w:val="20"/>
          <w:lang w:val="es-ES"/>
        </w:rPr>
      </w:pPr>
    </w:p>
    <w:p w14:paraId="1B95D825" w14:textId="77777777" w:rsidR="00962D88" w:rsidRDefault="00962D88">
      <w:pPr>
        <w:rPr>
          <w:rFonts w:eastAsiaTheme="minorHAnsi"/>
          <w:color w:val="000000" w:themeColor="text1"/>
          <w:szCs w:val="20"/>
          <w:lang w:val="es-ES"/>
        </w:rPr>
      </w:pPr>
    </w:p>
    <w:p w14:paraId="3AD7348F" w14:textId="77777777" w:rsidR="00962D88" w:rsidRDefault="00962D88">
      <w:pPr>
        <w:rPr>
          <w:rFonts w:eastAsiaTheme="minorHAnsi"/>
          <w:color w:val="000000" w:themeColor="text1"/>
          <w:szCs w:val="20"/>
          <w:lang w:val="es-ES"/>
        </w:rPr>
      </w:pPr>
    </w:p>
    <w:p w14:paraId="6D5997FE" w14:textId="0BEB131A" w:rsidR="00962D88" w:rsidRDefault="00962D88">
      <w:pPr>
        <w:rPr>
          <w:rFonts w:eastAsiaTheme="minorHAnsi"/>
          <w:color w:val="000000" w:themeColor="text1"/>
          <w:szCs w:val="20"/>
          <w:lang w:val="es-ES"/>
        </w:rPr>
      </w:pPr>
    </w:p>
    <w:p w14:paraId="26E94268" w14:textId="77777777" w:rsidR="00562956" w:rsidRDefault="00562956">
      <w:pPr>
        <w:rPr>
          <w:rFonts w:eastAsiaTheme="minorHAnsi"/>
          <w:color w:val="000000" w:themeColor="text1"/>
          <w:szCs w:val="20"/>
          <w:lang w:val="es-ES"/>
        </w:rPr>
      </w:pPr>
    </w:p>
    <w:p w14:paraId="2AACEEA5" w14:textId="77777777" w:rsidR="00562956" w:rsidRDefault="00562956">
      <w:pPr>
        <w:rPr>
          <w:rFonts w:eastAsiaTheme="minorHAnsi"/>
          <w:color w:val="000000" w:themeColor="text1"/>
          <w:szCs w:val="20"/>
          <w:lang w:val="es-ES"/>
        </w:rPr>
      </w:pPr>
    </w:p>
    <w:p w14:paraId="4B81CAEE" w14:textId="77777777" w:rsidR="00562956" w:rsidRDefault="00562956">
      <w:pPr>
        <w:rPr>
          <w:rFonts w:eastAsiaTheme="minorHAnsi"/>
          <w:color w:val="000000" w:themeColor="text1"/>
          <w:szCs w:val="20"/>
          <w:lang w:val="es-ES"/>
        </w:rPr>
      </w:pPr>
    </w:p>
    <w:p w14:paraId="02485368" w14:textId="544894D3" w:rsidR="00562956" w:rsidRDefault="00562956">
      <w:pPr>
        <w:rPr>
          <w:rFonts w:eastAsiaTheme="minorHAnsi"/>
          <w:color w:val="000000" w:themeColor="text1"/>
          <w:szCs w:val="20"/>
          <w:lang w:val="es-ES"/>
        </w:rPr>
      </w:pPr>
    </w:p>
    <w:p w14:paraId="4174C5FC" w14:textId="77777777" w:rsidR="00562956" w:rsidRPr="00F21044" w:rsidRDefault="00562956">
      <w:pPr>
        <w:rPr>
          <w:rFonts w:eastAsiaTheme="minorHAnsi"/>
          <w:color w:val="000000" w:themeColor="text1"/>
          <w:szCs w:val="20"/>
          <w:lang w:val="es-ES"/>
        </w:rPr>
      </w:pPr>
    </w:p>
    <w:sectPr w:rsidR="00562956" w:rsidRPr="00F21044" w:rsidSect="00D56E18">
      <w:headerReference w:type="default" r:id="rId17"/>
      <w:footerReference w:type="default" r:id="rId18"/>
      <w:pgSz w:w="11906" w:h="16838"/>
      <w:pgMar w:top="1985" w:right="1133" w:bottom="1276" w:left="1440" w:header="851" w:footer="31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6F77E" w14:textId="77777777" w:rsidR="00ED23DD" w:rsidRDefault="00ED23DD" w:rsidP="00267DAB">
      <w:pPr>
        <w:spacing w:after="0" w:line="240" w:lineRule="auto"/>
      </w:pPr>
      <w:r>
        <w:separator/>
      </w:r>
    </w:p>
  </w:endnote>
  <w:endnote w:type="continuationSeparator" w:id="0">
    <w:p w14:paraId="34D87B0C" w14:textId="77777777" w:rsidR="00ED23DD" w:rsidRDefault="00ED23DD" w:rsidP="00267DAB">
      <w:pPr>
        <w:spacing w:after="0" w:line="240" w:lineRule="auto"/>
      </w:pPr>
      <w:r>
        <w:continuationSeparator/>
      </w:r>
    </w:p>
  </w:endnote>
  <w:endnote w:type="continuationNotice" w:id="1">
    <w:p w14:paraId="32D22BB1" w14:textId="77777777" w:rsidR="00ED23DD" w:rsidRDefault="00ED23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B858E" w14:textId="000B65C3" w:rsidR="00AB0A2B" w:rsidRDefault="00EA777C" w:rsidP="00EA777C">
    <w:pPr>
      <w:pStyle w:val="Piedepgina"/>
      <w:spacing w:after="0" w:line="240" w:lineRule="auto"/>
      <w:jc w:val="center"/>
      <w:rPr>
        <w:szCs w:val="20"/>
        <w:lang w:val="pt-PT"/>
      </w:rPr>
    </w:pPr>
    <w:r>
      <w:rPr>
        <w:noProof/>
        <w:szCs w:val="20"/>
        <w:lang w:val="pt-PT"/>
      </w:rPr>
      <w:drawing>
        <wp:anchor distT="0" distB="0" distL="114300" distR="114300" simplePos="0" relativeHeight="251658240" behindDoc="0" locked="0" layoutInCell="1" allowOverlap="1" wp14:anchorId="5FC55C04" wp14:editId="06B2C0AC">
          <wp:simplePos x="0" y="0"/>
          <wp:positionH relativeFrom="column">
            <wp:posOffset>2564582</wp:posOffset>
          </wp:positionH>
          <wp:positionV relativeFrom="paragraph">
            <wp:posOffset>222745</wp:posOffset>
          </wp:positionV>
          <wp:extent cx="573405" cy="184785"/>
          <wp:effectExtent l="0" t="0" r="0" b="5715"/>
          <wp:wrapSquare wrapText="bothSides"/>
          <wp:docPr id="1257496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" cy="184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0A2B" w:rsidRPr="004A0401">
      <w:rPr>
        <w:szCs w:val="20"/>
        <w:lang w:val="pt-PT"/>
      </w:rPr>
      <w:t>Distribuidor oficial</w:t>
    </w:r>
  </w:p>
  <w:p w14:paraId="753757F0" w14:textId="77777777" w:rsidR="00EA777C" w:rsidRPr="00EA777C" w:rsidRDefault="00EA777C" w:rsidP="00EA777C">
    <w:pPr>
      <w:pStyle w:val="Piedepgina"/>
      <w:spacing w:after="0" w:line="240" w:lineRule="auto"/>
      <w:jc w:val="center"/>
      <w:rPr>
        <w:sz w:val="18"/>
        <w:szCs w:val="18"/>
        <w:lang w:val="pt-PT"/>
      </w:rPr>
    </w:pPr>
  </w:p>
  <w:p w14:paraId="0E0D4E6B" w14:textId="7A3FE399" w:rsidR="00723D90" w:rsidRPr="00AB0A2B" w:rsidRDefault="00AB0A2B" w:rsidP="00EA777C">
    <w:pPr>
      <w:pStyle w:val="Piedepgina"/>
      <w:spacing w:after="0" w:line="240" w:lineRule="auto"/>
      <w:jc w:val="center"/>
      <w:rPr>
        <w:szCs w:val="20"/>
        <w:lang w:val="pt-PT"/>
      </w:rPr>
    </w:pPr>
    <w:r w:rsidRPr="004A0401">
      <w:rPr>
        <w:szCs w:val="20"/>
        <w:lang w:val="pt-PT"/>
      </w:rPr>
      <w:t>Rodolfo Biber, S.A. · info@robisa.es · +34 91 7292 711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ADDCE" w14:textId="77777777" w:rsidR="00ED23DD" w:rsidRDefault="00ED23DD" w:rsidP="00267DAB">
      <w:pPr>
        <w:spacing w:after="0" w:line="240" w:lineRule="auto"/>
      </w:pPr>
      <w:r>
        <w:separator/>
      </w:r>
    </w:p>
  </w:footnote>
  <w:footnote w:type="continuationSeparator" w:id="0">
    <w:p w14:paraId="2E163766" w14:textId="77777777" w:rsidR="00ED23DD" w:rsidRDefault="00ED23DD" w:rsidP="00267DAB">
      <w:pPr>
        <w:spacing w:after="0" w:line="240" w:lineRule="auto"/>
      </w:pPr>
      <w:r>
        <w:continuationSeparator/>
      </w:r>
    </w:p>
  </w:footnote>
  <w:footnote w:type="continuationNotice" w:id="1">
    <w:p w14:paraId="3EEA6C7C" w14:textId="77777777" w:rsidR="00ED23DD" w:rsidRDefault="00ED23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50ABA" w14:textId="76BD19B4" w:rsidR="001B12D6" w:rsidRDefault="00320060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4F901350" wp14:editId="16F2B300">
              <wp:simplePos x="0" y="0"/>
              <wp:positionH relativeFrom="column">
                <wp:posOffset>-8255</wp:posOffset>
              </wp:positionH>
              <wp:positionV relativeFrom="paragraph">
                <wp:posOffset>86780</wp:posOffset>
              </wp:positionV>
              <wp:extent cx="1828800" cy="309880"/>
              <wp:effectExtent l="0" t="0" r="19050" b="1397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9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901E8D" w14:textId="41E252E8" w:rsidR="00320060" w:rsidRPr="00E63B06" w:rsidRDefault="00320060" w:rsidP="00E63B06">
                          <w:pPr>
                            <w:jc w:val="center"/>
                          </w:pPr>
                          <w: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9013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.65pt;margin-top:6.85pt;width:2in;height:24.4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Y7CDgIAAB8EAAAOAAAAZHJzL2Uyb0RvYy54bWysU9tu2zAMfR+wfxD0vtjJki0x4hRdugwD&#10;ugvQ7QMYWY6FyaImKbG7ry8lu2l2exmmB4E06cPDQ2p91beanaTzCk3Jp5OcM2kEVsocSv71y+7F&#10;kjMfwFSg0ciS30vPrzbPn607W8gZNqgr6RiBGF90tuRNCLbIMi8a2YKfoJWGgjW6FgK57pBVDjpC&#10;b3U2y/NXWYeusg6F9J6+3gxBvkn4dS1F+FTXXgamS07cQrpduvfxzjZrKA4ObKPESAP+gUULylDR&#10;M9QNBGBHp36DapVw6LEOE4FthnWthEw9UDfT/Jdu7hqwMvVC4nh7lsn/P1jx8XRnPzsW+jfY0wBT&#10;E97eovjmmcFtA+Ygr53DrpFQUeFplCzrrC/GX6PUvvARZN99wIqGDMeACaivXRtVoT4ZodMA7s+i&#10;yz4wEUsuZ8tlTiFBsZf5ipxUAorHv63z4Z3ElkWj5I6GmtDhdOtDZAPFY0os5lGraqe0To477Lfa&#10;sRPQAuzSGdF/StOGdSVfLWaLQYC/QuTp/AmiVYE2Wau25NQOnZgERZTtramSHUDpwSbK2ow6RukG&#10;EUO/7ykx6rnH6p4UdThsLL0wMhp0PzjraFtL7r8fwUnO9HtDU1lN5/O43smZL17PyHGXkf1lBIwg&#10;qJIHzgZzG9KTiHwNXtP0apWEfWIycqUtTHqPLyau+aWfsp7e9eYBAAD//wMAUEsDBBQABgAIAAAA&#10;IQCqpVNc3wAAAAgBAAAPAAAAZHJzL2Rvd25yZXYueG1sTI9BT8MwDIXvSPyHyEhc0Jauha6UphNC&#10;AsENBoJr1nhtReOUJOvKv8ec4Gb7PT1/r9rMdhAT+tA7UrBaJiCQGmd6ahW8vd4vChAhajJ6cIQK&#10;vjHApj49qXRp3JFecNrGVnAIhVIr6GIcSylD06HVYelGJNb2zlsdefWtNF4fOdwOMk2SXFrdE3/o&#10;9Ih3HTaf24NVUFw+Th/hKXt+b/L9cB0v1tPDl1fq/Gy+vQERcY5/ZvjFZ3SomWnnDmSCGBQsVhk7&#10;+Z6tQbCeFjkPOwV5egWyruT/AvUPAAAA//8DAFBLAQItABQABgAIAAAAIQC2gziS/gAAAOEBAAAT&#10;AAAAAAAAAAAAAAAAAAAAAABbQ29udGVudF9UeXBlc10ueG1sUEsBAi0AFAAGAAgAAAAhADj9If/W&#10;AAAAlAEAAAsAAAAAAAAAAAAAAAAALwEAAF9yZWxzLy5yZWxzUEsBAi0AFAAGAAgAAAAhADZRjsIO&#10;AgAAHwQAAA4AAAAAAAAAAAAAAAAALgIAAGRycy9lMm9Eb2MueG1sUEsBAi0AFAAGAAgAAAAhAKql&#10;U1zfAAAACAEAAA8AAAAAAAAAAAAAAAAAaAQAAGRycy9kb3ducmV2LnhtbFBLBQYAAAAABAAEAPMA&#10;AAB0BQAAAAA=&#10;">
              <v:textbox>
                <w:txbxContent>
                  <w:p w14:paraId="6E901E8D" w14:textId="41E252E8" w:rsidR="00320060" w:rsidRPr="00E63B06" w:rsidRDefault="00320060" w:rsidP="00E63B06">
                    <w:pPr>
                      <w:jc w:val="center"/>
                    </w:pPr>
                    <w: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Palatino Linotype" w:hAnsi="Palatino Linotype" w:cs="Arial"/>
        <w:noProof/>
        <w:color w:val="000000" w:themeColor="text1"/>
      </w:rPr>
      <w:drawing>
        <wp:anchor distT="0" distB="0" distL="114300" distR="114300" simplePos="0" relativeHeight="251658241" behindDoc="0" locked="0" layoutInCell="1" allowOverlap="1" wp14:anchorId="55CC0B3F" wp14:editId="2C71718C">
          <wp:simplePos x="0" y="0"/>
          <wp:positionH relativeFrom="column">
            <wp:posOffset>4471261</wp:posOffset>
          </wp:positionH>
          <wp:positionV relativeFrom="paragraph">
            <wp:posOffset>-160827</wp:posOffset>
          </wp:positionV>
          <wp:extent cx="1402080" cy="601901"/>
          <wp:effectExtent l="0" t="0" r="0" b="8255"/>
          <wp:wrapSquare wrapText="bothSides"/>
          <wp:docPr id="189586494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542" b="17523"/>
                  <a:stretch/>
                </pic:blipFill>
                <pic:spPr bwMode="auto">
                  <a:xfrm>
                    <a:off x="0" y="0"/>
                    <a:ext cx="1402080" cy="6019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C3ED6"/>
    <w:multiLevelType w:val="multilevel"/>
    <w:tmpl w:val="A8F8A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4B04D8"/>
    <w:multiLevelType w:val="multilevel"/>
    <w:tmpl w:val="DF5A2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528816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1246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DAB"/>
    <w:rsid w:val="0000066F"/>
    <w:rsid w:val="0002726A"/>
    <w:rsid w:val="00040709"/>
    <w:rsid w:val="00060938"/>
    <w:rsid w:val="00071CC8"/>
    <w:rsid w:val="00085006"/>
    <w:rsid w:val="00096CBF"/>
    <w:rsid w:val="000A69E1"/>
    <w:rsid w:val="000B1609"/>
    <w:rsid w:val="000C11CA"/>
    <w:rsid w:val="000C47BB"/>
    <w:rsid w:val="000E4B3D"/>
    <w:rsid w:val="00105879"/>
    <w:rsid w:val="00111CC0"/>
    <w:rsid w:val="00140D8C"/>
    <w:rsid w:val="00145438"/>
    <w:rsid w:val="001456F7"/>
    <w:rsid w:val="0014650D"/>
    <w:rsid w:val="00184C94"/>
    <w:rsid w:val="00195059"/>
    <w:rsid w:val="001A5137"/>
    <w:rsid w:val="001B03E0"/>
    <w:rsid w:val="001B12D6"/>
    <w:rsid w:val="001B5E63"/>
    <w:rsid w:val="001C5C00"/>
    <w:rsid w:val="001D1B46"/>
    <w:rsid w:val="001D3758"/>
    <w:rsid w:val="001E0F8A"/>
    <w:rsid w:val="001F1C2B"/>
    <w:rsid w:val="00214C66"/>
    <w:rsid w:val="002311AC"/>
    <w:rsid w:val="00236820"/>
    <w:rsid w:val="002420BE"/>
    <w:rsid w:val="002525C6"/>
    <w:rsid w:val="00267DAB"/>
    <w:rsid w:val="002742AB"/>
    <w:rsid w:val="00275C1C"/>
    <w:rsid w:val="00291AC7"/>
    <w:rsid w:val="002A1176"/>
    <w:rsid w:val="002B3A67"/>
    <w:rsid w:val="002D1A82"/>
    <w:rsid w:val="002D2A51"/>
    <w:rsid w:val="00320060"/>
    <w:rsid w:val="0032049B"/>
    <w:rsid w:val="003230DE"/>
    <w:rsid w:val="00373AD6"/>
    <w:rsid w:val="003846A3"/>
    <w:rsid w:val="003C222A"/>
    <w:rsid w:val="00405BB8"/>
    <w:rsid w:val="00420CA6"/>
    <w:rsid w:val="00425277"/>
    <w:rsid w:val="00427D33"/>
    <w:rsid w:val="0045510C"/>
    <w:rsid w:val="00462968"/>
    <w:rsid w:val="004742E3"/>
    <w:rsid w:val="00486ADD"/>
    <w:rsid w:val="004912F5"/>
    <w:rsid w:val="004D4ADD"/>
    <w:rsid w:val="004F6496"/>
    <w:rsid w:val="00507707"/>
    <w:rsid w:val="00526C44"/>
    <w:rsid w:val="00546611"/>
    <w:rsid w:val="00562088"/>
    <w:rsid w:val="00562956"/>
    <w:rsid w:val="005C254E"/>
    <w:rsid w:val="005E20E0"/>
    <w:rsid w:val="005F0D00"/>
    <w:rsid w:val="005F4FA5"/>
    <w:rsid w:val="006055D7"/>
    <w:rsid w:val="00613F5A"/>
    <w:rsid w:val="006168B0"/>
    <w:rsid w:val="0062138B"/>
    <w:rsid w:val="0066723F"/>
    <w:rsid w:val="00685D1E"/>
    <w:rsid w:val="006D41D8"/>
    <w:rsid w:val="006E2AAB"/>
    <w:rsid w:val="006E2B07"/>
    <w:rsid w:val="006F78E0"/>
    <w:rsid w:val="007035DB"/>
    <w:rsid w:val="00723D90"/>
    <w:rsid w:val="00724963"/>
    <w:rsid w:val="00727D90"/>
    <w:rsid w:val="00736B7D"/>
    <w:rsid w:val="00741962"/>
    <w:rsid w:val="0074669A"/>
    <w:rsid w:val="00746E24"/>
    <w:rsid w:val="00751719"/>
    <w:rsid w:val="00761278"/>
    <w:rsid w:val="007632B1"/>
    <w:rsid w:val="007772F0"/>
    <w:rsid w:val="007C19C5"/>
    <w:rsid w:val="007D5D06"/>
    <w:rsid w:val="007E1E99"/>
    <w:rsid w:val="007F4528"/>
    <w:rsid w:val="007F6619"/>
    <w:rsid w:val="0082016B"/>
    <w:rsid w:val="00846BAE"/>
    <w:rsid w:val="008526A4"/>
    <w:rsid w:val="00861F0C"/>
    <w:rsid w:val="00867F1C"/>
    <w:rsid w:val="00876557"/>
    <w:rsid w:val="00881C7A"/>
    <w:rsid w:val="008A6382"/>
    <w:rsid w:val="008C2A50"/>
    <w:rsid w:val="008E42CD"/>
    <w:rsid w:val="00905CE3"/>
    <w:rsid w:val="00906CB2"/>
    <w:rsid w:val="009224BA"/>
    <w:rsid w:val="00932B12"/>
    <w:rsid w:val="00943711"/>
    <w:rsid w:val="00962D88"/>
    <w:rsid w:val="00967CDF"/>
    <w:rsid w:val="00974D8D"/>
    <w:rsid w:val="00982EFA"/>
    <w:rsid w:val="00993875"/>
    <w:rsid w:val="009B6B0A"/>
    <w:rsid w:val="009C0E6E"/>
    <w:rsid w:val="009C64B8"/>
    <w:rsid w:val="009D74EF"/>
    <w:rsid w:val="009E274E"/>
    <w:rsid w:val="009E7B4C"/>
    <w:rsid w:val="00A06793"/>
    <w:rsid w:val="00A07394"/>
    <w:rsid w:val="00A1246D"/>
    <w:rsid w:val="00A14B32"/>
    <w:rsid w:val="00A14C30"/>
    <w:rsid w:val="00A258FF"/>
    <w:rsid w:val="00A327FF"/>
    <w:rsid w:val="00A53205"/>
    <w:rsid w:val="00A55E6C"/>
    <w:rsid w:val="00A73E4F"/>
    <w:rsid w:val="00A87361"/>
    <w:rsid w:val="00AA34C7"/>
    <w:rsid w:val="00AB0A2B"/>
    <w:rsid w:val="00AC6D27"/>
    <w:rsid w:val="00AD64B7"/>
    <w:rsid w:val="00AF2D1A"/>
    <w:rsid w:val="00AF67B6"/>
    <w:rsid w:val="00AF6866"/>
    <w:rsid w:val="00B22065"/>
    <w:rsid w:val="00B31F10"/>
    <w:rsid w:val="00B41632"/>
    <w:rsid w:val="00B4219F"/>
    <w:rsid w:val="00B46AF8"/>
    <w:rsid w:val="00B66EC2"/>
    <w:rsid w:val="00B72EBF"/>
    <w:rsid w:val="00B82A13"/>
    <w:rsid w:val="00BA0E61"/>
    <w:rsid w:val="00BA27AE"/>
    <w:rsid w:val="00BE24F8"/>
    <w:rsid w:val="00BE643A"/>
    <w:rsid w:val="00C0116A"/>
    <w:rsid w:val="00C04006"/>
    <w:rsid w:val="00C13CE5"/>
    <w:rsid w:val="00C31509"/>
    <w:rsid w:val="00C52F5B"/>
    <w:rsid w:val="00C8407D"/>
    <w:rsid w:val="00C95E65"/>
    <w:rsid w:val="00CB5E55"/>
    <w:rsid w:val="00CC769A"/>
    <w:rsid w:val="00CE15E9"/>
    <w:rsid w:val="00CE7B88"/>
    <w:rsid w:val="00CE7DE0"/>
    <w:rsid w:val="00CF4144"/>
    <w:rsid w:val="00D069AC"/>
    <w:rsid w:val="00D53B08"/>
    <w:rsid w:val="00D56E18"/>
    <w:rsid w:val="00DA7BFC"/>
    <w:rsid w:val="00DA7FBC"/>
    <w:rsid w:val="00DC7F84"/>
    <w:rsid w:val="00DE089C"/>
    <w:rsid w:val="00DF2FA0"/>
    <w:rsid w:val="00E0341E"/>
    <w:rsid w:val="00E27E81"/>
    <w:rsid w:val="00E328B9"/>
    <w:rsid w:val="00E33B1D"/>
    <w:rsid w:val="00E4202C"/>
    <w:rsid w:val="00E47D86"/>
    <w:rsid w:val="00E57446"/>
    <w:rsid w:val="00E63B06"/>
    <w:rsid w:val="00E70E5A"/>
    <w:rsid w:val="00E71BAE"/>
    <w:rsid w:val="00E74407"/>
    <w:rsid w:val="00E75522"/>
    <w:rsid w:val="00E76DE7"/>
    <w:rsid w:val="00EA0A54"/>
    <w:rsid w:val="00EA777C"/>
    <w:rsid w:val="00EB52DB"/>
    <w:rsid w:val="00EB77C5"/>
    <w:rsid w:val="00EC31C8"/>
    <w:rsid w:val="00EC49D2"/>
    <w:rsid w:val="00ED23DD"/>
    <w:rsid w:val="00EE2F80"/>
    <w:rsid w:val="00EE6AE4"/>
    <w:rsid w:val="00EF56ED"/>
    <w:rsid w:val="00F07AC7"/>
    <w:rsid w:val="00F12ABB"/>
    <w:rsid w:val="00F13C38"/>
    <w:rsid w:val="00F14137"/>
    <w:rsid w:val="00F179F7"/>
    <w:rsid w:val="00F21044"/>
    <w:rsid w:val="00F2159F"/>
    <w:rsid w:val="00F236F6"/>
    <w:rsid w:val="00F3124B"/>
    <w:rsid w:val="00F337A8"/>
    <w:rsid w:val="00F36BA5"/>
    <w:rsid w:val="00F373A2"/>
    <w:rsid w:val="00F73F7F"/>
    <w:rsid w:val="00F77487"/>
    <w:rsid w:val="00F80900"/>
    <w:rsid w:val="00F87B63"/>
    <w:rsid w:val="00F93D25"/>
    <w:rsid w:val="00FC60D5"/>
    <w:rsid w:val="00FD1852"/>
    <w:rsid w:val="00FF4C8B"/>
    <w:rsid w:val="00FF6670"/>
    <w:rsid w:val="00FF679D"/>
    <w:rsid w:val="0422D640"/>
    <w:rsid w:val="3F06FB95"/>
    <w:rsid w:val="5783CA27"/>
    <w:rsid w:val="6310257D"/>
    <w:rsid w:val="6899C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50A55"/>
  <w15:chartTrackingRefBased/>
  <w15:docId w15:val="{5247BBC1-DCB9-4B91-B243-30977BD9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C38"/>
    <w:pPr>
      <w:widowControl w:val="0"/>
      <w:wordWrap w:val="0"/>
      <w:autoSpaceDE w:val="0"/>
      <w:autoSpaceDN w:val="0"/>
    </w:p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72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672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link w:val="Ttulo4Car"/>
    <w:uiPriority w:val="9"/>
    <w:qFormat/>
    <w:rsid w:val="00486ADD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3"/>
    </w:pPr>
    <w:rPr>
      <w:rFonts w:ascii="Gulim" w:eastAsia="Gulim" w:hAnsi="Gulim" w:cs="Gulim"/>
      <w:b/>
      <w:bCs/>
      <w:kern w:val="0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7DAB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267DAB"/>
  </w:style>
  <w:style w:type="paragraph" w:styleId="Piedepgina">
    <w:name w:val="footer"/>
    <w:basedOn w:val="Normal"/>
    <w:link w:val="PiedepginaCar"/>
    <w:uiPriority w:val="99"/>
    <w:unhideWhenUsed/>
    <w:rsid w:val="00267DA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7DAB"/>
  </w:style>
  <w:style w:type="character" w:styleId="Hipervnculo">
    <w:name w:val="Hyperlink"/>
    <w:basedOn w:val="Fuentedeprrafopredeter"/>
    <w:uiPriority w:val="99"/>
    <w:unhideWhenUsed/>
    <w:rsid w:val="00EC31C8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E6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E6E"/>
    <w:rPr>
      <w:rFonts w:asciiTheme="majorHAnsi" w:eastAsiaTheme="majorEastAsia" w:hAnsiTheme="majorHAnsi" w:cstheme="majorBid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A69E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86ADD"/>
    <w:rPr>
      <w:rFonts w:ascii="Gulim" w:eastAsia="Gulim" w:hAnsi="Gulim" w:cs="Gulim"/>
      <w:b/>
      <w:bCs/>
      <w:kern w:val="0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672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6723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obisa.es/shop/115-benq-monitore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hyperlink" Target="https://www.robisa.es/benq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twitter.com/ROBIS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robisa.es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RobisaIberi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CA2438-64B9-481D-9431-D0277A6399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424C7-BBB5-403E-8E3E-EF27FB42F9AB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C01542C8-65F6-478E-94AD-1D88BFB9E247}"/>
</file>

<file path=customXml/itemProps4.xml><?xml version="1.0" encoding="utf-8"?>
<ds:datastoreItem xmlns:ds="http://schemas.openxmlformats.org/officeDocument/2006/customXml" ds:itemID="{1DDB9164-2B6D-45EA-BE54-2656A7C84D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641</Words>
  <Characters>3526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4159</CharactersWithSpaces>
  <SharedDoc>false</SharedDoc>
  <HLinks>
    <vt:vector size="18" baseType="variant">
      <vt:variant>
        <vt:i4>7143518</vt:i4>
      </vt:variant>
      <vt:variant>
        <vt:i4>6</vt:i4>
      </vt:variant>
      <vt:variant>
        <vt:i4>0</vt:i4>
      </vt:variant>
      <vt:variant>
        <vt:i4>5</vt:i4>
      </vt:variant>
      <vt:variant>
        <vt:lpwstr>https://www.tiktok.com/@samyanglensglobal</vt:lpwstr>
      </vt:variant>
      <vt:variant>
        <vt:lpwstr/>
      </vt:variant>
      <vt:variant>
        <vt:i4>3604531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http://www.youtube.com/samyanglens</vt:lpwstr>
      </vt:variant>
      <vt:variant>
        <vt:lpwstr/>
      </vt:variant>
      <vt:variant>
        <vt:i4>2752571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https://www.facebook.com/samyanglensglobal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JoMinHee</dc:creator>
  <cp:keywords/>
  <dc:description/>
  <cp:lastModifiedBy>Andrea Velez</cp:lastModifiedBy>
  <cp:revision>45</cp:revision>
  <cp:lastPrinted>2023-08-28T20:18:00Z</cp:lastPrinted>
  <dcterms:created xsi:type="dcterms:W3CDTF">2025-03-04T12:07:00Z</dcterms:created>
  <dcterms:modified xsi:type="dcterms:W3CDTF">2025-03-11T14:13:00Z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898df390-2c04-43df-a68a-c0dbd4f9e770</vt:lpwstr>
  </property>
  <property fmtid="{D5CDD505-2E9C-101B-9397-08002B2CF9AE}" pid="3" name="ContentTypeId">
    <vt:lpwstr>0x010100BE40F9E4686AAB4F8179A0674F8D61F5</vt:lpwstr>
  </property>
  <property fmtid="{D5CDD505-2E9C-101B-9397-08002B2CF9AE}" pid="4" name="MediaServiceImageTags">
    <vt:lpwstr/>
  </property>
  <property fmtid="{D5CDD505-2E9C-101B-9397-08002B2CF9AE}" pid="5" name="Peso archivo">
    <vt:lpwstr/>
  </property>
  <property fmtid="{D5CDD505-2E9C-101B-9397-08002B2CF9AE}" pid="6" name="Peso_x0020_archivo">
    <vt:lpwstr/>
  </property>
</Properties>
</file>