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07AD9" w14:textId="77777777" w:rsidR="00DB2B82" w:rsidRPr="00DB2B82" w:rsidRDefault="00DB2B82" w:rsidP="00DB2B82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DB2B82">
        <w:rPr>
          <w:rFonts w:asciiTheme="majorHAnsi" w:hAnsiTheme="majorHAnsi" w:cstheme="majorHAnsi"/>
          <w:b/>
          <w:bCs/>
          <w:sz w:val="24"/>
          <w:szCs w:val="24"/>
        </w:rPr>
        <w:t>Thypoch lanza las versiones Simera 28mm y 35mm f/1.4 Type II con anillo de enfoque ergonómico</w:t>
      </w:r>
    </w:p>
    <w:p w14:paraId="6D7C7726" w14:textId="77777777" w:rsidR="00662ECB" w:rsidRDefault="00662ECB" w:rsidP="00FE00DC">
      <w:pPr>
        <w:jc w:val="right"/>
        <w:rPr>
          <w:rFonts w:asciiTheme="majorHAnsi" w:hAnsiTheme="majorHAnsi" w:cstheme="majorHAnsi"/>
          <w:b/>
          <w:bCs/>
          <w:sz w:val="24"/>
          <w:szCs w:val="24"/>
        </w:rPr>
      </w:pPr>
    </w:p>
    <w:p w14:paraId="68B128E9" w14:textId="33EBD1CA" w:rsidR="00FE00DC" w:rsidRPr="00FE00DC" w:rsidRDefault="00FE00DC" w:rsidP="00FE00DC">
      <w:pPr>
        <w:jc w:val="right"/>
        <w:rPr>
          <w:rFonts w:asciiTheme="majorHAnsi" w:eastAsia="Times New Roman" w:hAnsiTheme="majorHAnsi" w:cstheme="majorHAnsi"/>
          <w:sz w:val="24"/>
          <w:szCs w:val="24"/>
        </w:rPr>
      </w:pPr>
      <w:r w:rsidRPr="00FE00DC">
        <w:rPr>
          <w:rFonts w:asciiTheme="majorHAnsi" w:eastAsia="Times New Roman" w:hAnsiTheme="majorHAnsi" w:cstheme="majorHAnsi"/>
          <w:sz w:val="24"/>
          <w:szCs w:val="24"/>
        </w:rPr>
        <w:t xml:space="preserve">Madrid, </w:t>
      </w:r>
      <w:r w:rsidR="00CA07D5">
        <w:rPr>
          <w:rFonts w:asciiTheme="majorHAnsi" w:eastAsia="Times New Roman" w:hAnsiTheme="majorHAnsi" w:cstheme="majorHAnsi"/>
          <w:sz w:val="24"/>
          <w:szCs w:val="24"/>
        </w:rPr>
        <w:t>2</w:t>
      </w:r>
      <w:r w:rsidR="00655072">
        <w:rPr>
          <w:rFonts w:asciiTheme="majorHAnsi" w:eastAsia="Times New Roman" w:hAnsiTheme="majorHAnsi" w:cstheme="majorHAnsi"/>
          <w:sz w:val="24"/>
          <w:szCs w:val="24"/>
        </w:rPr>
        <w:t>6</w:t>
      </w:r>
      <w:r w:rsidRPr="00FE00DC">
        <w:rPr>
          <w:rFonts w:asciiTheme="majorHAnsi" w:eastAsia="Times New Roman" w:hAnsiTheme="majorHAnsi" w:cstheme="majorHAnsi"/>
          <w:sz w:val="24"/>
          <w:szCs w:val="24"/>
        </w:rPr>
        <w:t xml:space="preserve"> de </w:t>
      </w:r>
      <w:r w:rsidR="00655072">
        <w:rPr>
          <w:rFonts w:asciiTheme="majorHAnsi" w:eastAsia="Times New Roman" w:hAnsiTheme="majorHAnsi" w:cstheme="majorHAnsi"/>
          <w:sz w:val="24"/>
          <w:szCs w:val="24"/>
        </w:rPr>
        <w:t>marzo</w:t>
      </w:r>
      <w:r w:rsidRPr="00FE00DC">
        <w:rPr>
          <w:rFonts w:asciiTheme="majorHAnsi" w:eastAsia="Times New Roman" w:hAnsiTheme="majorHAnsi" w:cstheme="majorHAnsi"/>
          <w:sz w:val="24"/>
          <w:szCs w:val="24"/>
        </w:rPr>
        <w:t xml:space="preserve"> 202</w:t>
      </w:r>
      <w:r w:rsidR="00FE0CC5">
        <w:rPr>
          <w:rFonts w:asciiTheme="majorHAnsi" w:eastAsia="Times New Roman" w:hAnsiTheme="majorHAnsi" w:cstheme="majorHAnsi"/>
          <w:sz w:val="24"/>
          <w:szCs w:val="24"/>
        </w:rPr>
        <w:t>5</w:t>
      </w:r>
    </w:p>
    <w:p w14:paraId="07F9427C" w14:textId="77777777" w:rsidR="00DB2B82" w:rsidRDefault="00DB2B82" w:rsidP="00DB2B82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DB2B82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Los objetivos debut de Thypoch, los Simera 28mm y 35mm f/1.4, lanzados originalmente en 2023, destacaron por su combinación de estética retro e ingeniería óptica moderna. Ahora, la serie Simera 28mm y 35mm ASPH Type II incorpora un anillo de enfoque en forma de media luna, mejorando la experiencia del usuario.</w:t>
      </w:r>
    </w:p>
    <w:p w14:paraId="6CC06699" w14:textId="77777777" w:rsidR="001D13DF" w:rsidRPr="00DB2B82" w:rsidRDefault="001D13DF" w:rsidP="00DB2B82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00785303" w14:textId="77777777" w:rsidR="00DB2B82" w:rsidRPr="00DB2B82" w:rsidRDefault="00DB2B82" w:rsidP="00DB2B82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DB2B82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Diseñadas para monturas Leica M, Nikon Z, Fujifilm X y Canon RF, estas nuevas versiones sustituyen el mecanismo de bloqueo de infinito por un anillo de enfoque ergonómico, permitiendo un enfoque suave y preciso con un solo dedo.</w:t>
      </w:r>
    </w:p>
    <w:p w14:paraId="54488540" w14:textId="77777777" w:rsidR="001D13DF" w:rsidRDefault="001D13DF" w:rsidP="00DB2B82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231543E7" w14:textId="2C2CF890" w:rsidR="00DB2B82" w:rsidRPr="00DB2B82" w:rsidRDefault="00DB2B82" w:rsidP="00DB2B82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DB2B82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La serie Simera es una de las pocas lentes con montura M que integra un diseño de grupos flotantes, asegurando un rendimiento constante desde el infinito hasta la distancia de enfoque mínima. Con el nuevo anillo de enfoque, estas lentes se asemejan a los recientes modelos Leica Summilux 28mm y 35mm, ofreciendo un control preciso y una calidad óptica excepcional.</w:t>
      </w:r>
    </w:p>
    <w:p w14:paraId="52A455A1" w14:textId="77777777" w:rsidR="00DA3A7D" w:rsidRDefault="00DA3A7D" w:rsidP="00DB2B82">
      <w:pPr>
        <w:pStyle w:val="NormalWeb"/>
        <w:shd w:val="clear" w:color="auto" w:fill="FFFFFF"/>
        <w:jc w:val="both"/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</w:pPr>
    </w:p>
    <w:p w14:paraId="01DAB609" w14:textId="6161A996" w:rsidR="00DB2B82" w:rsidRDefault="00DB2B82" w:rsidP="00DB2B82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DB2B82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¿Qué cambia en esta nueva versión?</w:t>
      </w:r>
      <w:r w:rsidRPr="00DB2B82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La principal diferencia entre las dos versiones radica en el mecanismo de enfoque:</w:t>
      </w:r>
    </w:p>
    <w:p w14:paraId="04064932" w14:textId="77777777" w:rsidR="00DA3A7D" w:rsidRPr="00DB2B82" w:rsidRDefault="00DA3A7D" w:rsidP="00DB2B82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3E863054" w14:textId="2CF757F7" w:rsidR="00DB2B82" w:rsidRPr="00DB2B82" w:rsidRDefault="00DB2B82" w:rsidP="00DB2B82">
      <w:pPr>
        <w:pStyle w:val="NormalWeb"/>
        <w:numPr>
          <w:ilvl w:val="0"/>
          <w:numId w:val="3"/>
        </w:numPr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DB2B82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Type I (Versión con bloqueo de infinito):</w:t>
      </w:r>
      <w:r w:rsidRPr="00DB2B82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Diseñada para mayor estabilidad, evita la rotación del objetivo durante la instalación, garantizando un manejo seguro. </w:t>
      </w:r>
    </w:p>
    <w:p w14:paraId="3CF8D96D" w14:textId="27F65CEC" w:rsidR="00DB2B82" w:rsidRPr="00DB2B82" w:rsidRDefault="00DB2B82" w:rsidP="00DB2B82">
      <w:pPr>
        <w:pStyle w:val="NormalWeb"/>
        <w:numPr>
          <w:ilvl w:val="0"/>
          <w:numId w:val="3"/>
        </w:numPr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DB2B82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Type II (Versión con anillo de enfoque):</w:t>
      </w:r>
      <w:r w:rsidRPr="00DB2B82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Diseño ergonómico que facilita un agarre cómodo y permite un enfoque fluido con un solo dedo. </w:t>
      </w:r>
    </w:p>
    <w:p w14:paraId="31BA07A9" w14:textId="77777777" w:rsidR="00DB2B82" w:rsidRDefault="00DB2B82" w:rsidP="00DB2B82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DB2B82">
        <w:rPr>
          <w:rFonts w:asciiTheme="majorHAnsi" w:hAnsiTheme="majorHAnsi" w:cstheme="majorHAnsi"/>
          <w:i/>
          <w:iCs/>
          <w:sz w:val="24"/>
          <w:szCs w:val="24"/>
          <w:bdr w:val="none" w:sz="0" w:space="0" w:color="auto" w:frame="1"/>
        </w:rPr>
        <w:t>Nota:</w:t>
      </w:r>
      <w:r w:rsidRPr="00DB2B82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El Simera 28mm ASPH Type II presenta un ligero refinamiento en la parte trasera, haciéndolo más delgado y otorgándole un diseño más estilizado.</w:t>
      </w:r>
    </w:p>
    <w:p w14:paraId="3C4397E6" w14:textId="77777777" w:rsidR="007B0C88" w:rsidRPr="00DB2B82" w:rsidRDefault="007B0C88" w:rsidP="00DB2B82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48C4A8CC" w14:textId="77777777" w:rsidR="00DB2B82" w:rsidRPr="00DB2B82" w:rsidRDefault="00DB2B82" w:rsidP="00DB2B82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DB2B82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Características destacadas:</w:t>
      </w:r>
    </w:p>
    <w:p w14:paraId="3B8C821C" w14:textId="77777777" w:rsidR="00DB2B82" w:rsidRPr="00DB2B82" w:rsidRDefault="00DB2B82" w:rsidP="00DB2B82">
      <w:pPr>
        <w:pStyle w:val="NormalWeb"/>
        <w:numPr>
          <w:ilvl w:val="0"/>
          <w:numId w:val="4"/>
        </w:numPr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DB2B82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Diafragma de 14 hojas para un bokeh suave y bellos efectos de estrella.</w:t>
      </w:r>
    </w:p>
    <w:p w14:paraId="18684A82" w14:textId="77777777" w:rsidR="00DB2B82" w:rsidRPr="00DB2B82" w:rsidRDefault="00DB2B82" w:rsidP="00DB2B82">
      <w:pPr>
        <w:pStyle w:val="NormalWeb"/>
        <w:numPr>
          <w:ilvl w:val="0"/>
          <w:numId w:val="4"/>
        </w:numPr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DB2B82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Distancia mínima de enfoque de 0.4m / 0.45m.</w:t>
      </w:r>
    </w:p>
    <w:p w14:paraId="73FF2B00" w14:textId="77777777" w:rsidR="00DB2B82" w:rsidRPr="00DB2B82" w:rsidRDefault="00DB2B82" w:rsidP="00DB2B82">
      <w:pPr>
        <w:pStyle w:val="NormalWeb"/>
        <w:numPr>
          <w:ilvl w:val="0"/>
          <w:numId w:val="4"/>
        </w:numPr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DB2B82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Diseño de elementos flotantes que mantiene una calidad uniforme desde el infinito hasta la distancia de enfoque cercana.</w:t>
      </w:r>
    </w:p>
    <w:p w14:paraId="1F218DAC" w14:textId="77777777" w:rsidR="00DB2B82" w:rsidRPr="00DB2B82" w:rsidRDefault="00DB2B82" w:rsidP="00DB2B82">
      <w:pPr>
        <w:pStyle w:val="NormalWeb"/>
        <w:numPr>
          <w:ilvl w:val="0"/>
          <w:numId w:val="4"/>
        </w:numPr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DB2B82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Escala de profundidad de campo con punto rojo inspirado en los diseños de los años 50.</w:t>
      </w:r>
    </w:p>
    <w:p w14:paraId="6544BDE6" w14:textId="77777777" w:rsidR="00DB2B82" w:rsidRPr="00DB2B82" w:rsidRDefault="00DB2B82" w:rsidP="00DB2B82">
      <w:pPr>
        <w:pStyle w:val="NormalWeb"/>
        <w:numPr>
          <w:ilvl w:val="0"/>
          <w:numId w:val="4"/>
        </w:numPr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DB2B82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Marcadores de apertura "Sol" y "Luna" para cambiar rápidamente entre modos con clic y sin clic, ideal para fotografía y video.</w:t>
      </w:r>
    </w:p>
    <w:p w14:paraId="19360629" w14:textId="77777777" w:rsidR="00DB2B82" w:rsidRDefault="00DB2B82" w:rsidP="00DB2B82">
      <w:pPr>
        <w:pStyle w:val="NormalWeb"/>
        <w:numPr>
          <w:ilvl w:val="0"/>
          <w:numId w:val="4"/>
        </w:numPr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DB2B82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Punto de resistencia a 0.7m para facilitar la transición entre el visor tópico y el EVF.</w:t>
      </w:r>
    </w:p>
    <w:p w14:paraId="46D3EE3D" w14:textId="77777777" w:rsidR="00420214" w:rsidRDefault="00420214" w:rsidP="00420214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588CB02F" w14:textId="77777777" w:rsidR="00420214" w:rsidRDefault="00420214" w:rsidP="00420214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19B64609" w14:textId="77777777" w:rsidR="00420214" w:rsidRPr="00DB2B82" w:rsidRDefault="00420214" w:rsidP="00420214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036EC530" w14:textId="77777777" w:rsidR="00420214" w:rsidRDefault="00DB2B82" w:rsidP="00DB2B82">
      <w:pPr>
        <w:pStyle w:val="NormalWeb"/>
        <w:shd w:val="clear" w:color="auto" w:fill="FFFFFF"/>
        <w:jc w:val="both"/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</w:pPr>
      <w:r w:rsidRPr="00DB2B82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¿Se puede actualizar desde la versión con bloqueo de infinito?</w:t>
      </w:r>
    </w:p>
    <w:p w14:paraId="5AAB43AA" w14:textId="77777777" w:rsidR="00420214" w:rsidRDefault="00420214" w:rsidP="00DB2B82">
      <w:pPr>
        <w:pStyle w:val="NormalWeb"/>
        <w:shd w:val="clear" w:color="auto" w:fill="FFFFFF"/>
        <w:jc w:val="both"/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</w:pPr>
    </w:p>
    <w:p w14:paraId="4897120F" w14:textId="4B8F7C95" w:rsidR="00DB2B82" w:rsidRPr="00DB2B82" w:rsidRDefault="00DB2B82" w:rsidP="00DB2B82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DB2B82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Thypoch no recomienda modificar un objetivo de la versión Infinity-Lock a la versión con anillo de enfoque. Este proceso requiere desmontar y recalibrar más de cuatro componentes internos, lo que podría afectar el rendimiento óptico y la estabilidad mecánica. Por esta razón, Thypoch no ofrece servicios de conversión.</w:t>
      </w:r>
    </w:p>
    <w:p w14:paraId="49D438C6" w14:textId="77777777" w:rsidR="00420214" w:rsidRDefault="00420214" w:rsidP="00DB2B82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669CA802" w14:textId="601579E2" w:rsidR="00DB2B82" w:rsidRPr="00DB2B82" w:rsidRDefault="00DB2B82" w:rsidP="00DB2B82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DB2B82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Los nuevos objetivos Simera 28mm y 35mm f/1.4 Type II (Focus-Tab) </w:t>
      </w:r>
      <w:r w:rsidR="00AC2C2B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estarán disponibles para su compra a mediados del mes de abril. </w:t>
      </w:r>
    </w:p>
    <w:p w14:paraId="0CADCCF4" w14:textId="77777777" w:rsidR="004640CE" w:rsidRPr="005E063B" w:rsidRDefault="004640CE" w:rsidP="00156C49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1DDA0C5E" w14:textId="6976C699" w:rsidR="00CD450A" w:rsidRPr="00FE00DC" w:rsidRDefault="008C094A" w:rsidP="00156C49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Para más información sobre este y los demás objetivos de THYPOCH puede consultar la página web de THYPOCH </w:t>
      </w:r>
      <w:hyperlink r:id="rId11" w:history="1">
        <w:r w:rsidR="0085118E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https://thypoch.com/en/</w:t>
        </w:r>
      </w:hyperlink>
      <w:r w:rsidR="0085118E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o la web y las redes sociales de Robisa</w:t>
      </w:r>
      <w:r w:rsidR="003D3720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como distribuidor oficial: </w:t>
      </w:r>
      <w:hyperlink r:id="rId12" w:history="1">
        <w:r w:rsidR="00CD450A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ROBISA WEB</w:t>
        </w:r>
      </w:hyperlink>
      <w:r w:rsidR="00CD450A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hyperlink r:id="rId13" w:history="1">
        <w:r w:rsidR="00CD450A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ROBISA SHOP</w:t>
        </w:r>
      </w:hyperlink>
      <w:r w:rsidR="00837327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hyperlink r:id="rId14" w:history="1">
        <w:r w:rsidR="00837327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 xml:space="preserve">ROBISA </w:t>
        </w:r>
        <w:r w:rsidR="00CD450A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FB</w:t>
        </w:r>
      </w:hyperlink>
      <w:r w:rsidR="00CD450A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hyperlink r:id="rId15" w:history="1">
        <w:r w:rsidR="00837327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 xml:space="preserve">ROBISA </w:t>
        </w:r>
        <w:r w:rsidR="00CD450A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I</w:t>
        </w:r>
        <w:r w:rsidR="00837327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G</w:t>
        </w:r>
      </w:hyperlink>
      <w:r w:rsidR="00CD450A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hyperlink r:id="rId16" w:history="1">
        <w:r w:rsidR="00837327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ROBISA X</w:t>
        </w:r>
      </w:hyperlink>
      <w:r w:rsidR="00837327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.</w:t>
      </w:r>
    </w:p>
    <w:sectPr w:rsidR="00CD450A" w:rsidRPr="00FE00DC" w:rsidSect="00D57F41">
      <w:headerReference w:type="default" r:id="rId17"/>
      <w:footerReference w:type="default" r:id="rId18"/>
      <w:pgSz w:w="11906" w:h="16838"/>
      <w:pgMar w:top="2552" w:right="1558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19151" w14:textId="77777777" w:rsidR="00253188" w:rsidRDefault="00253188" w:rsidP="00FE5657">
      <w:pPr>
        <w:spacing w:after="0" w:line="240" w:lineRule="auto"/>
      </w:pPr>
      <w:r>
        <w:separator/>
      </w:r>
    </w:p>
  </w:endnote>
  <w:endnote w:type="continuationSeparator" w:id="0">
    <w:p w14:paraId="0CBA3D8A" w14:textId="77777777" w:rsidR="00253188" w:rsidRDefault="00253188" w:rsidP="00FE5657">
      <w:pPr>
        <w:spacing w:after="0" w:line="240" w:lineRule="auto"/>
      </w:pPr>
      <w:r>
        <w:continuationSeparator/>
      </w:r>
    </w:p>
  </w:endnote>
  <w:endnote w:type="continuationNotice" w:id="1">
    <w:p w14:paraId="6D9F354E" w14:textId="77777777" w:rsidR="00253188" w:rsidRDefault="002531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E6F3F" w14:textId="77777777" w:rsidR="00B711ED" w:rsidRPr="00B711ED" w:rsidRDefault="00B711ED" w:rsidP="00B711ED">
    <w:pPr>
      <w:pStyle w:val="Piedepgina"/>
      <w:tabs>
        <w:tab w:val="left" w:pos="4815"/>
      </w:tabs>
      <w:rPr>
        <w:sz w:val="20"/>
        <w:szCs w:val="20"/>
      </w:rPr>
    </w:pPr>
    <w:r w:rsidRPr="00B711ED">
      <w:rPr>
        <w:sz w:val="20"/>
        <w:szCs w:val="20"/>
      </w:rPr>
      <w:tab/>
    </w:r>
  </w:p>
  <w:p w14:paraId="069E7D83" w14:textId="77777777" w:rsidR="00B711ED" w:rsidRPr="00B711ED" w:rsidRDefault="00B711ED" w:rsidP="00B711ED">
    <w:pPr>
      <w:pStyle w:val="Piedepgina"/>
      <w:tabs>
        <w:tab w:val="left" w:pos="4815"/>
      </w:tabs>
      <w:jc w:val="center"/>
      <w:rPr>
        <w:sz w:val="20"/>
        <w:szCs w:val="20"/>
        <w:lang w:val="pt-PT"/>
      </w:rPr>
    </w:pPr>
    <w:r w:rsidRPr="00B711ED">
      <w:rPr>
        <w:sz w:val="20"/>
        <w:szCs w:val="20"/>
        <w:lang w:val="pt-PT"/>
      </w:rPr>
      <w:t>Distribuidor oficial:</w:t>
    </w:r>
  </w:p>
  <w:p w14:paraId="7DB37139" w14:textId="0941B1DB" w:rsidR="00FE5657" w:rsidRPr="00B711ED" w:rsidRDefault="00B711ED" w:rsidP="00B711ED">
    <w:pPr>
      <w:pStyle w:val="Piedepgina"/>
      <w:tabs>
        <w:tab w:val="clear" w:pos="4252"/>
        <w:tab w:val="clear" w:pos="8504"/>
        <w:tab w:val="left" w:pos="4815"/>
      </w:tabs>
      <w:jc w:val="center"/>
      <w:rPr>
        <w:sz w:val="20"/>
        <w:szCs w:val="20"/>
        <w:lang w:val="pt-PT"/>
      </w:rPr>
    </w:pPr>
    <w:r w:rsidRPr="00B711ED">
      <w:rPr>
        <w:sz w:val="20"/>
        <w:szCs w:val="20"/>
        <w:lang w:val="pt-PT"/>
      </w:rPr>
      <w:t>Rodolfo Biber, S.A.  •  info@robisa.es •  +34 91 7292 711  •  www.robisa.es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1EEAA" w14:textId="77777777" w:rsidR="00253188" w:rsidRDefault="00253188" w:rsidP="00FE5657">
      <w:pPr>
        <w:spacing w:after="0" w:line="240" w:lineRule="auto"/>
      </w:pPr>
      <w:r>
        <w:separator/>
      </w:r>
    </w:p>
  </w:footnote>
  <w:footnote w:type="continuationSeparator" w:id="0">
    <w:p w14:paraId="6EE20686" w14:textId="77777777" w:rsidR="00253188" w:rsidRDefault="00253188" w:rsidP="00FE5657">
      <w:pPr>
        <w:spacing w:after="0" w:line="240" w:lineRule="auto"/>
      </w:pPr>
      <w:r>
        <w:continuationSeparator/>
      </w:r>
    </w:p>
  </w:footnote>
  <w:footnote w:type="continuationNotice" w:id="1">
    <w:p w14:paraId="43EDADDB" w14:textId="77777777" w:rsidR="00253188" w:rsidRDefault="002531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C4BEA" w14:textId="2FE0F370" w:rsidR="00FE5657" w:rsidRDefault="00B941F8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3C47DAB" wp14:editId="2A7BC414">
          <wp:simplePos x="0" y="0"/>
          <wp:positionH relativeFrom="margin">
            <wp:posOffset>4605020</wp:posOffset>
          </wp:positionH>
          <wp:positionV relativeFrom="paragraph">
            <wp:posOffset>-30480</wp:posOffset>
          </wp:positionV>
          <wp:extent cx="1143635" cy="381000"/>
          <wp:effectExtent l="0" t="0" r="0" b="0"/>
          <wp:wrapSquare wrapText="bothSides"/>
          <wp:docPr id="713229339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63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41525A21" wp14:editId="5A8152B3">
              <wp:simplePos x="0" y="0"/>
              <wp:positionH relativeFrom="column">
                <wp:posOffset>1647190</wp:posOffset>
              </wp:positionH>
              <wp:positionV relativeFrom="paragraph">
                <wp:posOffset>551180</wp:posOffset>
              </wp:positionV>
              <wp:extent cx="2360930" cy="298450"/>
              <wp:effectExtent l="0" t="0" r="13335" b="2540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298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D05B36" w14:textId="6D20643B" w:rsidR="00B941F8" w:rsidRPr="00B941F8" w:rsidRDefault="00B941F8" w:rsidP="00B941F8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941F8">
                            <w:rPr>
                              <w:sz w:val="24"/>
                              <w:szCs w:val="24"/>
                            </w:rPr>
                            <w:t>COMUNICADO DE PRENSA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525A2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29.7pt;margin-top:43.4pt;width:185.9pt;height:23.5pt;z-index:251658241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">
              <v:textbox>
                <w:txbxContent>
                  <w:p w14:paraId="12D05B36" w14:textId="6D20643B" w:rsidR="00B941F8" w:rsidRPr="00B941F8" w:rsidRDefault="00B941F8" w:rsidP="00B941F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B941F8">
                      <w:rPr>
                        <w:sz w:val="24"/>
                        <w:szCs w:val="24"/>
                      </w:rPr>
                      <w:t>COMUNICADO DE PRENSA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43F7D">
      <w:rPr>
        <w:noProof/>
      </w:rPr>
      <w:drawing>
        <wp:inline distT="0" distB="0" distL="0" distR="0" wp14:anchorId="5FD86546" wp14:editId="71BD8F33">
          <wp:extent cx="1416050" cy="303205"/>
          <wp:effectExtent l="0" t="0" r="0" b="1905"/>
          <wp:docPr id="131725750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05" cy="312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73F72"/>
    <w:multiLevelType w:val="multilevel"/>
    <w:tmpl w:val="8A4CF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913C04"/>
    <w:multiLevelType w:val="multilevel"/>
    <w:tmpl w:val="5848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632903"/>
    <w:multiLevelType w:val="multilevel"/>
    <w:tmpl w:val="18F60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4076BB"/>
    <w:multiLevelType w:val="hybridMultilevel"/>
    <w:tmpl w:val="48A44266"/>
    <w:lvl w:ilvl="0" w:tplc="0C0A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 w16cid:durableId="1251155125">
    <w:abstractNumId w:val="3"/>
  </w:num>
  <w:num w:numId="2" w16cid:durableId="1447887435">
    <w:abstractNumId w:val="1"/>
  </w:num>
  <w:num w:numId="3" w16cid:durableId="1285624312">
    <w:abstractNumId w:val="2"/>
  </w:num>
  <w:num w:numId="4" w16cid:durableId="636379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E51"/>
    <w:rsid w:val="00001852"/>
    <w:rsid w:val="000141DD"/>
    <w:rsid w:val="0001521A"/>
    <w:rsid w:val="00040324"/>
    <w:rsid w:val="00041481"/>
    <w:rsid w:val="00053567"/>
    <w:rsid w:val="00053723"/>
    <w:rsid w:val="000541FE"/>
    <w:rsid w:val="000547EC"/>
    <w:rsid w:val="0005534F"/>
    <w:rsid w:val="00056D13"/>
    <w:rsid w:val="0006041F"/>
    <w:rsid w:val="00061F97"/>
    <w:rsid w:val="00070C6F"/>
    <w:rsid w:val="00094000"/>
    <w:rsid w:val="000A430D"/>
    <w:rsid w:val="000B0473"/>
    <w:rsid w:val="000B23CA"/>
    <w:rsid w:val="000C348A"/>
    <w:rsid w:val="000C47A5"/>
    <w:rsid w:val="000D1BA5"/>
    <w:rsid w:val="000D5FB6"/>
    <w:rsid w:val="000D7824"/>
    <w:rsid w:val="000E6307"/>
    <w:rsid w:val="000F1636"/>
    <w:rsid w:val="0010009B"/>
    <w:rsid w:val="00106B03"/>
    <w:rsid w:val="001119D4"/>
    <w:rsid w:val="001326A9"/>
    <w:rsid w:val="001352B4"/>
    <w:rsid w:val="001358F8"/>
    <w:rsid w:val="001410F6"/>
    <w:rsid w:val="0014670D"/>
    <w:rsid w:val="00146DF5"/>
    <w:rsid w:val="00150CCE"/>
    <w:rsid w:val="0015411E"/>
    <w:rsid w:val="001560A4"/>
    <w:rsid w:val="00156C49"/>
    <w:rsid w:val="001724DD"/>
    <w:rsid w:val="00180BAD"/>
    <w:rsid w:val="00181C76"/>
    <w:rsid w:val="00196913"/>
    <w:rsid w:val="001A3E6C"/>
    <w:rsid w:val="001A74F3"/>
    <w:rsid w:val="001B6F57"/>
    <w:rsid w:val="001D13DF"/>
    <w:rsid w:val="001E0461"/>
    <w:rsid w:val="001E1BBA"/>
    <w:rsid w:val="001E3661"/>
    <w:rsid w:val="001E61DB"/>
    <w:rsid w:val="00200E55"/>
    <w:rsid w:val="00215472"/>
    <w:rsid w:val="002211A3"/>
    <w:rsid w:val="002228E4"/>
    <w:rsid w:val="00226905"/>
    <w:rsid w:val="00253188"/>
    <w:rsid w:val="00260050"/>
    <w:rsid w:val="00262F36"/>
    <w:rsid w:val="00264AAD"/>
    <w:rsid w:val="00264AC8"/>
    <w:rsid w:val="00276505"/>
    <w:rsid w:val="00281935"/>
    <w:rsid w:val="00287FA5"/>
    <w:rsid w:val="00292B04"/>
    <w:rsid w:val="00296485"/>
    <w:rsid w:val="002A14C5"/>
    <w:rsid w:val="002A2B4D"/>
    <w:rsid w:val="002A5DC5"/>
    <w:rsid w:val="002B6BEB"/>
    <w:rsid w:val="002C172C"/>
    <w:rsid w:val="002C5BD7"/>
    <w:rsid w:val="002D58F1"/>
    <w:rsid w:val="002D5AE9"/>
    <w:rsid w:val="002E40C1"/>
    <w:rsid w:val="002F4EFC"/>
    <w:rsid w:val="002F599D"/>
    <w:rsid w:val="0032212C"/>
    <w:rsid w:val="00322F56"/>
    <w:rsid w:val="00322FAE"/>
    <w:rsid w:val="00327FB4"/>
    <w:rsid w:val="00331659"/>
    <w:rsid w:val="003327E5"/>
    <w:rsid w:val="003435BD"/>
    <w:rsid w:val="00346E6B"/>
    <w:rsid w:val="00347844"/>
    <w:rsid w:val="00351341"/>
    <w:rsid w:val="00352806"/>
    <w:rsid w:val="00354051"/>
    <w:rsid w:val="003655D7"/>
    <w:rsid w:val="00374D0B"/>
    <w:rsid w:val="003846B3"/>
    <w:rsid w:val="003A130E"/>
    <w:rsid w:val="003B1586"/>
    <w:rsid w:val="003B7B1B"/>
    <w:rsid w:val="003C7436"/>
    <w:rsid w:val="003D3720"/>
    <w:rsid w:val="003E0219"/>
    <w:rsid w:val="003E7E61"/>
    <w:rsid w:val="003F1353"/>
    <w:rsid w:val="003F3F82"/>
    <w:rsid w:val="003F7107"/>
    <w:rsid w:val="00401F24"/>
    <w:rsid w:val="004118A1"/>
    <w:rsid w:val="0041227A"/>
    <w:rsid w:val="004172E8"/>
    <w:rsid w:val="00420214"/>
    <w:rsid w:val="00420784"/>
    <w:rsid w:val="004222C7"/>
    <w:rsid w:val="004239CE"/>
    <w:rsid w:val="00434283"/>
    <w:rsid w:val="0045286D"/>
    <w:rsid w:val="004640CE"/>
    <w:rsid w:val="00473775"/>
    <w:rsid w:val="00492640"/>
    <w:rsid w:val="00496A76"/>
    <w:rsid w:val="004B1D11"/>
    <w:rsid w:val="004B4B5B"/>
    <w:rsid w:val="004D3AEE"/>
    <w:rsid w:val="004E07D0"/>
    <w:rsid w:val="004E6DE0"/>
    <w:rsid w:val="004F2699"/>
    <w:rsid w:val="004F2A5A"/>
    <w:rsid w:val="00531548"/>
    <w:rsid w:val="00533658"/>
    <w:rsid w:val="00535752"/>
    <w:rsid w:val="005378EB"/>
    <w:rsid w:val="005454A1"/>
    <w:rsid w:val="005537FF"/>
    <w:rsid w:val="00570A46"/>
    <w:rsid w:val="00576EA9"/>
    <w:rsid w:val="0057705E"/>
    <w:rsid w:val="0058368D"/>
    <w:rsid w:val="00595F91"/>
    <w:rsid w:val="005A22EE"/>
    <w:rsid w:val="005A4328"/>
    <w:rsid w:val="005A4DCF"/>
    <w:rsid w:val="005C0E9E"/>
    <w:rsid w:val="005E063B"/>
    <w:rsid w:val="005E3C0E"/>
    <w:rsid w:val="005F7E40"/>
    <w:rsid w:val="00606448"/>
    <w:rsid w:val="00610673"/>
    <w:rsid w:val="006309D9"/>
    <w:rsid w:val="00654689"/>
    <w:rsid w:val="00655072"/>
    <w:rsid w:val="006561E7"/>
    <w:rsid w:val="00656862"/>
    <w:rsid w:val="0066277B"/>
    <w:rsid w:val="00662ECB"/>
    <w:rsid w:val="00666279"/>
    <w:rsid w:val="006738B8"/>
    <w:rsid w:val="006823DA"/>
    <w:rsid w:val="00682E79"/>
    <w:rsid w:val="00684F14"/>
    <w:rsid w:val="00697E62"/>
    <w:rsid w:val="00697FBD"/>
    <w:rsid w:val="006C0254"/>
    <w:rsid w:val="006C3B1D"/>
    <w:rsid w:val="006D1CE5"/>
    <w:rsid w:val="006D6019"/>
    <w:rsid w:val="006E4F22"/>
    <w:rsid w:val="006E700C"/>
    <w:rsid w:val="006F2F61"/>
    <w:rsid w:val="006F4308"/>
    <w:rsid w:val="00703EFF"/>
    <w:rsid w:val="00707C71"/>
    <w:rsid w:val="007100B0"/>
    <w:rsid w:val="00733464"/>
    <w:rsid w:val="007358C3"/>
    <w:rsid w:val="00741BF2"/>
    <w:rsid w:val="00750838"/>
    <w:rsid w:val="007706CB"/>
    <w:rsid w:val="00770B02"/>
    <w:rsid w:val="00770E18"/>
    <w:rsid w:val="00776BEC"/>
    <w:rsid w:val="007A03D8"/>
    <w:rsid w:val="007B0C88"/>
    <w:rsid w:val="007C2765"/>
    <w:rsid w:val="007C77FE"/>
    <w:rsid w:val="007D50E7"/>
    <w:rsid w:val="007E1C06"/>
    <w:rsid w:val="007E31D3"/>
    <w:rsid w:val="007E46A1"/>
    <w:rsid w:val="007E71D1"/>
    <w:rsid w:val="007F08AB"/>
    <w:rsid w:val="007F0F20"/>
    <w:rsid w:val="007F2D61"/>
    <w:rsid w:val="007F3518"/>
    <w:rsid w:val="007F5F8B"/>
    <w:rsid w:val="007F6125"/>
    <w:rsid w:val="0080045A"/>
    <w:rsid w:val="0081160B"/>
    <w:rsid w:val="00821DE5"/>
    <w:rsid w:val="00822191"/>
    <w:rsid w:val="00835BDC"/>
    <w:rsid w:val="00837327"/>
    <w:rsid w:val="00844593"/>
    <w:rsid w:val="0085118E"/>
    <w:rsid w:val="00852169"/>
    <w:rsid w:val="00857C66"/>
    <w:rsid w:val="00872133"/>
    <w:rsid w:val="00883B38"/>
    <w:rsid w:val="00886A34"/>
    <w:rsid w:val="0089069E"/>
    <w:rsid w:val="00891BF1"/>
    <w:rsid w:val="008A4DB3"/>
    <w:rsid w:val="008B3F21"/>
    <w:rsid w:val="008C094A"/>
    <w:rsid w:val="008C5990"/>
    <w:rsid w:val="008D4777"/>
    <w:rsid w:val="008E33E1"/>
    <w:rsid w:val="008E4BD4"/>
    <w:rsid w:val="00924327"/>
    <w:rsid w:val="009351F7"/>
    <w:rsid w:val="00935356"/>
    <w:rsid w:val="00937BA6"/>
    <w:rsid w:val="00940D2B"/>
    <w:rsid w:val="00944493"/>
    <w:rsid w:val="00944CC1"/>
    <w:rsid w:val="009622AA"/>
    <w:rsid w:val="009702BB"/>
    <w:rsid w:val="0097189F"/>
    <w:rsid w:val="00971E92"/>
    <w:rsid w:val="00983F6A"/>
    <w:rsid w:val="00993BB8"/>
    <w:rsid w:val="009A2088"/>
    <w:rsid w:val="009A7ED0"/>
    <w:rsid w:val="009B0E1A"/>
    <w:rsid w:val="009B4B6F"/>
    <w:rsid w:val="009C3E32"/>
    <w:rsid w:val="009C739B"/>
    <w:rsid w:val="009C7876"/>
    <w:rsid w:val="009D6964"/>
    <w:rsid w:val="009E0544"/>
    <w:rsid w:val="009E734A"/>
    <w:rsid w:val="009E7B61"/>
    <w:rsid w:val="009E7EAD"/>
    <w:rsid w:val="009F5484"/>
    <w:rsid w:val="009F7EBE"/>
    <w:rsid w:val="00A01E34"/>
    <w:rsid w:val="00A10474"/>
    <w:rsid w:val="00A2484E"/>
    <w:rsid w:val="00A256D2"/>
    <w:rsid w:val="00A34805"/>
    <w:rsid w:val="00A40C0A"/>
    <w:rsid w:val="00A5475A"/>
    <w:rsid w:val="00A56973"/>
    <w:rsid w:val="00A64FEC"/>
    <w:rsid w:val="00A7366C"/>
    <w:rsid w:val="00A75D64"/>
    <w:rsid w:val="00A8205D"/>
    <w:rsid w:val="00A85421"/>
    <w:rsid w:val="00A97BB0"/>
    <w:rsid w:val="00AA4AEC"/>
    <w:rsid w:val="00AB4D05"/>
    <w:rsid w:val="00AB67CE"/>
    <w:rsid w:val="00AC06CB"/>
    <w:rsid w:val="00AC2C2B"/>
    <w:rsid w:val="00AC6E35"/>
    <w:rsid w:val="00AD21BF"/>
    <w:rsid w:val="00AD6275"/>
    <w:rsid w:val="00AD7ECA"/>
    <w:rsid w:val="00AE0BE0"/>
    <w:rsid w:val="00AE2520"/>
    <w:rsid w:val="00AE4545"/>
    <w:rsid w:val="00AE5753"/>
    <w:rsid w:val="00AE7FAB"/>
    <w:rsid w:val="00AF1EE4"/>
    <w:rsid w:val="00AF6237"/>
    <w:rsid w:val="00B1116D"/>
    <w:rsid w:val="00B11BA3"/>
    <w:rsid w:val="00B127AE"/>
    <w:rsid w:val="00B361F2"/>
    <w:rsid w:val="00B42FB5"/>
    <w:rsid w:val="00B4316A"/>
    <w:rsid w:val="00B551AF"/>
    <w:rsid w:val="00B64EBC"/>
    <w:rsid w:val="00B711ED"/>
    <w:rsid w:val="00B73048"/>
    <w:rsid w:val="00B765F2"/>
    <w:rsid w:val="00B777A4"/>
    <w:rsid w:val="00B8730B"/>
    <w:rsid w:val="00B941F8"/>
    <w:rsid w:val="00B97B55"/>
    <w:rsid w:val="00BA26A8"/>
    <w:rsid w:val="00BA2F67"/>
    <w:rsid w:val="00BB11E6"/>
    <w:rsid w:val="00BB52E7"/>
    <w:rsid w:val="00BB7B3B"/>
    <w:rsid w:val="00BC07D2"/>
    <w:rsid w:val="00BD43A6"/>
    <w:rsid w:val="00BE3C59"/>
    <w:rsid w:val="00BF5412"/>
    <w:rsid w:val="00BF6DC6"/>
    <w:rsid w:val="00C24A34"/>
    <w:rsid w:val="00C253F4"/>
    <w:rsid w:val="00C26D45"/>
    <w:rsid w:val="00C308EF"/>
    <w:rsid w:val="00C40A47"/>
    <w:rsid w:val="00C43F7D"/>
    <w:rsid w:val="00C52BD7"/>
    <w:rsid w:val="00CA00F9"/>
    <w:rsid w:val="00CA07D5"/>
    <w:rsid w:val="00CA2AE5"/>
    <w:rsid w:val="00CC2F70"/>
    <w:rsid w:val="00CC3BBF"/>
    <w:rsid w:val="00CD0629"/>
    <w:rsid w:val="00CD450A"/>
    <w:rsid w:val="00CF1343"/>
    <w:rsid w:val="00D01303"/>
    <w:rsid w:val="00D01FF8"/>
    <w:rsid w:val="00D055A1"/>
    <w:rsid w:val="00D1075A"/>
    <w:rsid w:val="00D2015B"/>
    <w:rsid w:val="00D274F3"/>
    <w:rsid w:val="00D42797"/>
    <w:rsid w:val="00D53B20"/>
    <w:rsid w:val="00D57F41"/>
    <w:rsid w:val="00D63516"/>
    <w:rsid w:val="00D9070B"/>
    <w:rsid w:val="00D95F10"/>
    <w:rsid w:val="00DA3A7D"/>
    <w:rsid w:val="00DB2B82"/>
    <w:rsid w:val="00DC1F40"/>
    <w:rsid w:val="00DD7E68"/>
    <w:rsid w:val="00DE3249"/>
    <w:rsid w:val="00E162BC"/>
    <w:rsid w:val="00E17E9D"/>
    <w:rsid w:val="00E2043E"/>
    <w:rsid w:val="00E26E51"/>
    <w:rsid w:val="00E315AC"/>
    <w:rsid w:val="00E370B1"/>
    <w:rsid w:val="00E40B1A"/>
    <w:rsid w:val="00E44268"/>
    <w:rsid w:val="00E5381C"/>
    <w:rsid w:val="00E5411A"/>
    <w:rsid w:val="00E60068"/>
    <w:rsid w:val="00E602A0"/>
    <w:rsid w:val="00E620E3"/>
    <w:rsid w:val="00E67ECB"/>
    <w:rsid w:val="00E76A32"/>
    <w:rsid w:val="00E91559"/>
    <w:rsid w:val="00EA4C89"/>
    <w:rsid w:val="00EC1ADA"/>
    <w:rsid w:val="00EC2D2B"/>
    <w:rsid w:val="00EC5C27"/>
    <w:rsid w:val="00ED2EFD"/>
    <w:rsid w:val="00ED36BF"/>
    <w:rsid w:val="00ED6443"/>
    <w:rsid w:val="00ED70F2"/>
    <w:rsid w:val="00EE4C2D"/>
    <w:rsid w:val="00EF2E90"/>
    <w:rsid w:val="00EF5358"/>
    <w:rsid w:val="00F01CE4"/>
    <w:rsid w:val="00F03CBB"/>
    <w:rsid w:val="00F03DCE"/>
    <w:rsid w:val="00F0583C"/>
    <w:rsid w:val="00F071FA"/>
    <w:rsid w:val="00F277CF"/>
    <w:rsid w:val="00F30D22"/>
    <w:rsid w:val="00F323C5"/>
    <w:rsid w:val="00F36BB2"/>
    <w:rsid w:val="00F402AF"/>
    <w:rsid w:val="00F678EE"/>
    <w:rsid w:val="00F71F5C"/>
    <w:rsid w:val="00F85E64"/>
    <w:rsid w:val="00F87707"/>
    <w:rsid w:val="00F91B75"/>
    <w:rsid w:val="00FA4B92"/>
    <w:rsid w:val="00FA6FE5"/>
    <w:rsid w:val="00FC05E1"/>
    <w:rsid w:val="00FC11AD"/>
    <w:rsid w:val="00FD3FDA"/>
    <w:rsid w:val="00FE00DC"/>
    <w:rsid w:val="00FE0502"/>
    <w:rsid w:val="00FE0CC5"/>
    <w:rsid w:val="00FE5657"/>
    <w:rsid w:val="00FF435B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C5779"/>
  <w15:chartTrackingRefBased/>
  <w15:docId w15:val="{48FECB05-E353-42D2-8FB5-0E6581E1D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D062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D0629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5657"/>
  </w:style>
  <w:style w:type="paragraph" w:styleId="Piedepgina">
    <w:name w:val="footer"/>
    <w:basedOn w:val="Normal"/>
    <w:link w:val="PiedepginaCa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5657"/>
  </w:style>
  <w:style w:type="paragraph" w:styleId="Textonotapie">
    <w:name w:val="footnote text"/>
    <w:basedOn w:val="Normal"/>
    <w:link w:val="TextonotapieCar"/>
    <w:uiPriority w:val="99"/>
    <w:semiHidden/>
    <w:unhideWhenUsed/>
    <w:rsid w:val="00200E5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00E5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00E55"/>
    <w:rPr>
      <w:vertAlign w:val="superscript"/>
    </w:rPr>
  </w:style>
  <w:style w:type="paragraph" w:styleId="NormalWeb">
    <w:name w:val="Normal (Web)"/>
    <w:basedOn w:val="Normal"/>
    <w:uiPriority w:val="99"/>
    <w:unhideWhenUsed/>
    <w:rsid w:val="00156C49"/>
    <w:pPr>
      <w:spacing w:after="0" w:line="240" w:lineRule="auto"/>
    </w:pPr>
    <w:rPr>
      <w:rFonts w:ascii="Calibri" w:eastAsiaTheme="minorEastAsia" w:hAnsi="Calibri" w:cs="Calibri"/>
      <w:lang w:eastAsia="ko-KR"/>
    </w:rPr>
  </w:style>
  <w:style w:type="character" w:customStyle="1" w:styleId="contentpasted0">
    <w:name w:val="contentpasted0"/>
    <w:basedOn w:val="Fuentedeprrafopredeter"/>
    <w:rsid w:val="00156C49"/>
  </w:style>
  <w:style w:type="character" w:customStyle="1" w:styleId="contentpasted1">
    <w:name w:val="contentpasted1"/>
    <w:basedOn w:val="Fuentedeprrafopredeter"/>
    <w:rsid w:val="00156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obisa.es/shop/238-thypoch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obisa.es/thypoch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x.com/ROBIS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hypoch.com/en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robisa.es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acebook.com/RobisaIberia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0" ma:contentTypeDescription="Create a new document." ma:contentTypeScope="" ma:versionID="063f928857595863498770029be4c0b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6bf1106a07a0bbcc481e775419944d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6BB076-4ECA-4245-A5BE-3BD65609CD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3DF022-D9CD-4767-B815-ABC8542E8FF4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3.xml><?xml version="1.0" encoding="utf-8"?>
<ds:datastoreItem xmlns:ds="http://schemas.openxmlformats.org/officeDocument/2006/customXml" ds:itemID="{06111D5C-1B21-4EA4-86EE-09B59355AC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EE25C7-4881-4BA7-863E-B8C571304E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2</Pages>
  <Words>495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Links>
    <vt:vector size="36" baseType="variant">
      <vt:variant>
        <vt:i4>1572949</vt:i4>
      </vt:variant>
      <vt:variant>
        <vt:i4>15</vt:i4>
      </vt:variant>
      <vt:variant>
        <vt:i4>0</vt:i4>
      </vt:variant>
      <vt:variant>
        <vt:i4>5</vt:i4>
      </vt:variant>
      <vt:variant>
        <vt:lpwstr>https://x.com/ROBISA</vt:lpwstr>
      </vt:variant>
      <vt:variant>
        <vt:lpwstr/>
      </vt:variant>
      <vt:variant>
        <vt:i4>1507348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https://www.instagram.com/robisa.es/</vt:lpwstr>
      </vt:variant>
      <vt:variant>
        <vt:lpwstr/>
      </vt:variant>
      <vt:variant>
        <vt:i4>7274544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https://www.facebook.com/RobisaIberia/</vt:lpwstr>
      </vt:variant>
      <vt:variant>
        <vt:lpwstr/>
      </vt:variant>
      <vt:variant>
        <vt:i4>8192040</vt:i4>
      </vt:variant>
      <vt:variant>
        <vt:i4>6</vt:i4>
      </vt:variant>
      <vt:variant>
        <vt:i4>0</vt:i4>
      </vt:variant>
      <vt:variant>
        <vt:i4>5</vt:i4>
      </vt:variant>
      <vt:variant>
        <vt:lpwstr>https://www.robisa.es/shop/238-thypoch</vt:lpwstr>
      </vt:variant>
      <vt:variant>
        <vt:lpwstr/>
      </vt:variant>
      <vt:variant>
        <vt:i4>3211380</vt:i4>
      </vt:variant>
      <vt:variant>
        <vt:i4>3</vt:i4>
      </vt:variant>
      <vt:variant>
        <vt:i4>0</vt:i4>
      </vt:variant>
      <vt:variant>
        <vt:i4>5</vt:i4>
      </vt:variant>
      <vt:variant>
        <vt:lpwstr>https://www.robisa.es/thypoch/</vt:lpwstr>
      </vt:variant>
      <vt:variant>
        <vt:lpwstr/>
      </vt:variant>
      <vt:variant>
        <vt:i4>6946849</vt:i4>
      </vt:variant>
      <vt:variant>
        <vt:i4>0</vt:i4>
      </vt:variant>
      <vt:variant>
        <vt:i4>0</vt:i4>
      </vt:variant>
      <vt:variant>
        <vt:i4>5</vt:i4>
      </vt:variant>
      <vt:variant>
        <vt:lpwstr>https://thypoch.com/en/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Andrea Velez</cp:lastModifiedBy>
  <cp:revision>148</cp:revision>
  <cp:lastPrinted>2020-02-19T02:06:00Z</cp:lastPrinted>
  <dcterms:created xsi:type="dcterms:W3CDTF">2024-12-02T19:55:00Z</dcterms:created>
  <dcterms:modified xsi:type="dcterms:W3CDTF">2025-03-26T12:08:00Z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  <property fmtid="{D5CDD505-2E9C-101B-9397-08002B2CF9AE}" pid="5" name="Peso_x0020_archivo">
    <vt:lpwstr/>
  </property>
</Properties>
</file>