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5439A" w14:textId="701F8E89" w:rsidR="00CF7ADE" w:rsidRPr="00CF7ADE" w:rsidRDefault="0039329A" w:rsidP="00CF7ADE">
      <w:pPr>
        <w:pStyle w:val="Ttulo3"/>
        <w:jc w:val="center"/>
        <w:rPr>
          <w:rFonts w:ascii="Poppins" w:hAnsi="Poppins" w:cs="Poppins"/>
          <w:sz w:val="28"/>
          <w:szCs w:val="28"/>
          <w:lang w:val="es-ES"/>
        </w:rPr>
      </w:pPr>
      <w:r w:rsidRPr="008A7EEA">
        <w:rPr>
          <w:rFonts w:ascii="Poppins" w:hAnsi="Poppins" w:cs="Poppins"/>
          <w:sz w:val="28"/>
          <w:szCs w:val="28"/>
          <w:lang w:val="es-ES"/>
        </w:rPr>
        <w:t>BenQ presenta el PD2732U, el nuevo monitor vertical de la gama Creative Pro para profesionales creativos</w:t>
      </w:r>
    </w:p>
    <w:p w14:paraId="42EDDBE5" w14:textId="77777777" w:rsidR="00CF7ADE" w:rsidRDefault="00CF7ADE" w:rsidP="00005623">
      <w:pPr>
        <w:jc w:val="right"/>
        <w:rPr>
          <w:rFonts w:ascii="Poppins" w:hAnsi="Poppins" w:cs="Poppins"/>
          <w:sz w:val="22"/>
          <w:lang w:val="es-ES"/>
        </w:rPr>
      </w:pPr>
    </w:p>
    <w:p w14:paraId="38097931" w14:textId="72690B92" w:rsidR="00F96850" w:rsidRDefault="00FF35C6" w:rsidP="00005623">
      <w:pPr>
        <w:jc w:val="right"/>
        <w:rPr>
          <w:rFonts w:ascii="Poppins" w:hAnsi="Poppins" w:cs="Poppins"/>
          <w:sz w:val="22"/>
          <w:lang w:val="es-ES"/>
        </w:rPr>
      </w:pPr>
      <w:r w:rsidRPr="00AD138F">
        <w:rPr>
          <w:rFonts w:ascii="Poppins" w:hAnsi="Poppins" w:cs="Poppins"/>
          <w:sz w:val="22"/>
          <w:lang w:val="es-ES"/>
        </w:rPr>
        <w:t xml:space="preserve">Madrid, a </w:t>
      </w:r>
      <w:r w:rsidR="00A34BD0">
        <w:rPr>
          <w:rFonts w:ascii="Poppins" w:hAnsi="Poppins" w:cs="Poppins"/>
          <w:sz w:val="22"/>
          <w:lang w:val="es-ES"/>
        </w:rPr>
        <w:t>30</w:t>
      </w:r>
      <w:r w:rsidRPr="00AD138F">
        <w:rPr>
          <w:rFonts w:ascii="Poppins" w:hAnsi="Poppins" w:cs="Poppins"/>
          <w:sz w:val="22"/>
          <w:lang w:val="es-ES"/>
        </w:rPr>
        <w:t xml:space="preserve"> de julio de 2026</w:t>
      </w:r>
    </w:p>
    <w:p w14:paraId="391706C8" w14:textId="77777777" w:rsidR="00005623" w:rsidRPr="00CF7ADE" w:rsidRDefault="00005623" w:rsidP="00005623">
      <w:pPr>
        <w:jc w:val="right"/>
        <w:rPr>
          <w:rFonts w:ascii="Poppins" w:hAnsi="Poppins" w:cs="Poppins"/>
          <w:sz w:val="22"/>
          <w:u w:val="single"/>
          <w:lang w:val="es-ES"/>
        </w:rPr>
      </w:pPr>
    </w:p>
    <w:p w14:paraId="0D6FDA2C" w14:textId="107F9462" w:rsidR="0017266C" w:rsidRDefault="00F96850" w:rsidP="0017266C">
      <w:pPr>
        <w:widowControl/>
        <w:wordWrap/>
        <w:autoSpaceDE/>
        <w:autoSpaceDN/>
        <w:spacing w:line="300" w:lineRule="auto"/>
        <w:rPr>
          <w:rFonts w:ascii="Poppins" w:eastAsia="Times New Roman" w:hAnsi="Poppins" w:cs="Poppins"/>
          <w:kern w:val="0"/>
          <w:sz w:val="22"/>
          <w:lang w:val="es-ES" w:eastAsia="es-ES"/>
        </w:rPr>
      </w:pPr>
      <w:r w:rsidRPr="00AD2BD3">
        <w:rPr>
          <w:rFonts w:ascii="Poppins" w:eastAsia="Times New Roman" w:hAnsi="Poppins" w:cs="Poppins"/>
          <w:kern w:val="0"/>
          <w:sz w:val="22"/>
          <w:lang w:val="es-ES" w:eastAsia="es-ES"/>
        </w:rPr>
        <w:t>BenQ, innovador global en tecnologías profesionales de Pantalla, ha anunciado hoy BenQ Creative Pro, una nueva submarca centrada en creadores y desarrollada para profesionales creativos que necesitan un color fiable y listo para la entrega. La gama se presenta con el PD2732U, un monitor profesional 4K de 27 pulgadas diseñado para entornos de diseño con prioridad digital. Como modelo insignia, el PD2732U establece una plataforma para ofrecer confianza verificable en el color, al combinar precisión en dos gamas cromáticas, uniformidad calibrada e integración en el flujo de trabajo para garantizar que los resultados reflejen la intención creativa.</w:t>
      </w:r>
    </w:p>
    <w:p w14:paraId="334A583D" w14:textId="77777777" w:rsidR="00F97D0B" w:rsidRPr="00AD2BD3" w:rsidRDefault="00F97D0B" w:rsidP="0017266C">
      <w:pPr>
        <w:widowControl/>
        <w:wordWrap/>
        <w:autoSpaceDE/>
        <w:autoSpaceDN/>
        <w:spacing w:line="300" w:lineRule="auto"/>
        <w:rPr>
          <w:rFonts w:ascii="Poppins" w:eastAsia="Times New Roman" w:hAnsi="Poppins" w:cs="Poppins"/>
          <w:kern w:val="0"/>
          <w:sz w:val="22"/>
          <w:lang w:val="es-ES" w:eastAsia="es-ES"/>
        </w:rPr>
      </w:pPr>
    </w:p>
    <w:p w14:paraId="17040658" w14:textId="022C92B5" w:rsidR="008E3CA2" w:rsidRDefault="008E3CA2" w:rsidP="0017266C">
      <w:pPr>
        <w:widowControl/>
        <w:wordWrap/>
        <w:autoSpaceDE/>
        <w:autoSpaceDN/>
        <w:spacing w:line="300" w:lineRule="auto"/>
        <w:rPr>
          <w:rFonts w:ascii="Poppins" w:eastAsia="Times New Roman" w:hAnsi="Poppins" w:cs="Poppins"/>
          <w:kern w:val="0"/>
          <w:sz w:val="22"/>
          <w:lang w:val="es-ES" w:eastAsia="es-ES"/>
        </w:rPr>
      </w:pPr>
      <w:r w:rsidRPr="00AD2BD3">
        <w:rPr>
          <w:rFonts w:ascii="Poppins" w:eastAsia="Times New Roman" w:hAnsi="Poppins" w:cs="Poppins"/>
          <w:kern w:val="0"/>
          <w:sz w:val="22"/>
          <w:lang w:val="es-ES" w:eastAsia="es-ES"/>
        </w:rPr>
        <w:t>“</w:t>
      </w:r>
      <w:r w:rsidRPr="00AD2BD3">
        <w:rPr>
          <w:rFonts w:ascii="Poppins" w:eastAsia="Times New Roman" w:hAnsi="Poppins" w:cs="Poppins"/>
          <w:i/>
          <w:iCs/>
          <w:kern w:val="0"/>
          <w:sz w:val="22"/>
          <w:lang w:val="es-ES" w:eastAsia="es-ES"/>
        </w:rPr>
        <w:t>BenQ Creative Pro representa nuestro compromiso de ser una autoridad de confianza en color para los creadores profesionales, garantizando que cada decisión de color en Pantalla se traduzca con precisión en la entrega final</w:t>
      </w:r>
      <w:r w:rsidRPr="00AD2BD3">
        <w:rPr>
          <w:rFonts w:ascii="Poppins" w:eastAsia="Times New Roman" w:hAnsi="Poppins" w:cs="Poppins"/>
          <w:kern w:val="0"/>
          <w:sz w:val="22"/>
          <w:lang w:val="es-ES" w:eastAsia="es-ES"/>
        </w:rPr>
        <w:t xml:space="preserve">”, afirmó Ajen Liao, responsable de la unidad de negocio de productos de Pantalla para TI de BenQ </w:t>
      </w:r>
      <w:proofErr w:type="spellStart"/>
      <w:r w:rsidRPr="00AD2BD3">
        <w:rPr>
          <w:rFonts w:ascii="Poppins" w:eastAsia="Times New Roman" w:hAnsi="Poppins" w:cs="Poppins"/>
          <w:kern w:val="0"/>
          <w:sz w:val="22"/>
          <w:lang w:val="es-ES" w:eastAsia="es-ES"/>
        </w:rPr>
        <w:t>Corporation</w:t>
      </w:r>
      <w:proofErr w:type="spellEnd"/>
      <w:r w:rsidRPr="00AD2BD3">
        <w:rPr>
          <w:rFonts w:ascii="Poppins" w:eastAsia="Times New Roman" w:hAnsi="Poppins" w:cs="Poppins"/>
          <w:kern w:val="0"/>
          <w:sz w:val="22"/>
          <w:lang w:val="es-ES" w:eastAsia="es-ES"/>
        </w:rPr>
        <w:t>. “</w:t>
      </w:r>
      <w:r w:rsidRPr="00AD2BD3">
        <w:rPr>
          <w:rFonts w:ascii="Poppins" w:eastAsia="Times New Roman" w:hAnsi="Poppins" w:cs="Poppins"/>
          <w:i/>
          <w:iCs/>
          <w:kern w:val="0"/>
          <w:sz w:val="22"/>
          <w:lang w:val="es-ES" w:eastAsia="es-ES"/>
        </w:rPr>
        <w:t>El PD2732U representa esta visión al combinar la tecnología AQCOLOR</w:t>
      </w:r>
      <w:r w:rsidRPr="00AD2BD3">
        <w:rPr>
          <w:rFonts w:ascii="Poppins" w:eastAsia="Times New Roman" w:hAnsi="Poppins" w:cs="Poppins"/>
          <w:b/>
          <w:bCs/>
          <w:i/>
          <w:iCs/>
          <w:kern w:val="0"/>
          <w:sz w:val="22"/>
          <w:lang w:val="es-ES" w:eastAsia="es-ES"/>
        </w:rPr>
        <w:t>®</w:t>
      </w:r>
      <w:r w:rsidRPr="00AD2BD3">
        <w:rPr>
          <w:rFonts w:ascii="Poppins" w:eastAsia="Times New Roman" w:hAnsi="Poppins" w:cs="Poppins"/>
          <w:i/>
          <w:iCs/>
          <w:kern w:val="0"/>
          <w:sz w:val="22"/>
          <w:lang w:val="es-ES" w:eastAsia="es-ES"/>
        </w:rPr>
        <w:t> con una calibración avanzada de la uniformidad de Pantalla, lo que permite a los creadores trabajar con confianza, sabiendo que sus colores se mantienen consistentes y fiables desde la Pantalla hasta el resultado final.</w:t>
      </w:r>
      <w:r w:rsidRPr="00AD2BD3">
        <w:rPr>
          <w:rFonts w:ascii="Poppins" w:eastAsia="Times New Roman" w:hAnsi="Poppins" w:cs="Poppins"/>
          <w:kern w:val="0"/>
          <w:sz w:val="22"/>
          <w:lang w:val="es-ES" w:eastAsia="es-ES"/>
        </w:rPr>
        <w:t>”</w:t>
      </w:r>
    </w:p>
    <w:p w14:paraId="440A29EE" w14:textId="77777777" w:rsidR="00F97D0B" w:rsidRPr="00AD2BD3" w:rsidRDefault="00F97D0B" w:rsidP="0017266C">
      <w:pPr>
        <w:widowControl/>
        <w:wordWrap/>
        <w:autoSpaceDE/>
        <w:autoSpaceDN/>
        <w:spacing w:line="300" w:lineRule="auto"/>
        <w:rPr>
          <w:rFonts w:ascii="Poppins" w:eastAsia="Times New Roman" w:hAnsi="Poppins" w:cs="Poppins"/>
          <w:kern w:val="0"/>
          <w:sz w:val="22"/>
          <w:lang w:val="es-ES" w:eastAsia="es-ES"/>
        </w:rPr>
      </w:pPr>
    </w:p>
    <w:p w14:paraId="1C21AB6C" w14:textId="576E9CFE" w:rsidR="005A2B69" w:rsidRPr="00EC5D36" w:rsidRDefault="005A2B69" w:rsidP="005A2B69">
      <w:pPr>
        <w:rPr>
          <w:rFonts w:ascii="Poppins" w:eastAsiaTheme="minorHAnsi" w:hAnsi="Poppins" w:cs="Poppins"/>
          <w:b/>
          <w:bCs/>
          <w:color w:val="000000" w:themeColor="text1"/>
          <w:sz w:val="22"/>
          <w:lang w:val="es-ES"/>
        </w:rPr>
      </w:pPr>
      <w:r w:rsidRPr="00EC5D36">
        <w:rPr>
          <w:rFonts w:ascii="Poppins" w:eastAsiaTheme="minorHAnsi" w:hAnsi="Poppins" w:cs="Poppins"/>
          <w:b/>
          <w:bCs/>
          <w:color w:val="000000" w:themeColor="text1"/>
          <w:sz w:val="22"/>
          <w:lang w:val="es-ES"/>
        </w:rPr>
        <w:t>Color fiable para entregas en distintos medios</w:t>
      </w:r>
    </w:p>
    <w:p w14:paraId="3E5667F3" w14:textId="77777777" w:rsidR="005A2B69" w:rsidRPr="00EC5D36" w:rsidRDefault="005A2B69" w:rsidP="005A2B69">
      <w:pPr>
        <w:rPr>
          <w:rFonts w:ascii="Poppins" w:eastAsiaTheme="minorHAnsi" w:hAnsi="Poppins" w:cs="Poppins"/>
          <w:color w:val="000000" w:themeColor="text1"/>
          <w:sz w:val="22"/>
          <w:lang w:val="es-ES"/>
        </w:rPr>
      </w:pPr>
      <w:r w:rsidRPr="00EC5D36">
        <w:rPr>
          <w:rFonts w:ascii="Poppins" w:eastAsiaTheme="minorHAnsi" w:hAnsi="Poppins" w:cs="Poppins"/>
          <w:color w:val="000000" w:themeColor="text1"/>
          <w:sz w:val="22"/>
          <w:lang w:val="es-ES"/>
        </w:rPr>
        <w:t xml:space="preserve">El PD2732U está diseñado para creadores que trabajan en flujos de producción digitales, de vídeo y de impresión, donde las decisiones de color deben mantenerse uniformes desde la Pantalla hasta el resultado final. El monitor ofrece una cobertura del 99 % de Adobe RGB, del 99 % de DCI-P3 y del 100 % de </w:t>
      </w:r>
      <w:proofErr w:type="spellStart"/>
      <w:r w:rsidRPr="00EC5D36">
        <w:rPr>
          <w:rFonts w:ascii="Poppins" w:eastAsiaTheme="minorHAnsi" w:hAnsi="Poppins" w:cs="Poppins"/>
          <w:color w:val="000000" w:themeColor="text1"/>
          <w:sz w:val="22"/>
          <w:lang w:val="es-ES"/>
        </w:rPr>
        <w:t>sRGB</w:t>
      </w:r>
      <w:proofErr w:type="spellEnd"/>
      <w:r w:rsidRPr="00EC5D36">
        <w:rPr>
          <w:rFonts w:ascii="Poppins" w:eastAsiaTheme="minorHAnsi" w:hAnsi="Poppins" w:cs="Poppins"/>
          <w:color w:val="000000" w:themeColor="text1"/>
          <w:sz w:val="22"/>
          <w:lang w:val="es-ES"/>
        </w:rPr>
        <w:t xml:space="preserve">, lo que permite a los diseñadores evaluar recursos para web, vídeo e impresión dentro de un único entorno de color fiable. Su amplia gama Adobe RGB garantiza una representación más </w:t>
      </w:r>
      <w:r w:rsidRPr="00EC5D36">
        <w:rPr>
          <w:rFonts w:ascii="Poppins" w:eastAsiaTheme="minorHAnsi" w:hAnsi="Poppins" w:cs="Poppins"/>
          <w:color w:val="000000" w:themeColor="text1"/>
          <w:sz w:val="22"/>
          <w:lang w:val="es-ES"/>
        </w:rPr>
        <w:lastRenderedPageBreak/>
        <w:t>precisa de los colores relevantes para impresión y facilita los flujos de trabajo de fotografía, edición y producción CMYK. Cada unidad se calibra en fábrica e incluye un informe, con un Delta E medio &lt; 2 para garantizar una precisión de color verificada desde el primer uso. Esta combinación de compatibilidad con una amplia gama cromática y precisión calibrada permite a los diseñadores tomar decisiones de color con confianza para distintos formatos de salida dentro de una única Pantalla de referencia fiable.</w:t>
      </w:r>
    </w:p>
    <w:p w14:paraId="6140ADFA" w14:textId="77777777" w:rsidR="00005623" w:rsidRPr="00EC5D36" w:rsidRDefault="00005623" w:rsidP="005A2B69">
      <w:pPr>
        <w:rPr>
          <w:rFonts w:ascii="Poppins" w:eastAsiaTheme="minorHAnsi" w:hAnsi="Poppins" w:cs="Poppins"/>
          <w:color w:val="000000" w:themeColor="text1"/>
          <w:sz w:val="22"/>
          <w:lang w:val="es-ES"/>
        </w:rPr>
      </w:pPr>
    </w:p>
    <w:p w14:paraId="5982BE12" w14:textId="77777777" w:rsidR="00F8687C" w:rsidRPr="00EC5D36" w:rsidRDefault="00F8687C" w:rsidP="00F8687C">
      <w:pPr>
        <w:rPr>
          <w:rFonts w:ascii="Poppins" w:eastAsiaTheme="minorHAnsi" w:hAnsi="Poppins" w:cs="Poppins"/>
          <w:b/>
          <w:bCs/>
          <w:color w:val="000000" w:themeColor="text1"/>
          <w:sz w:val="22"/>
          <w:lang w:val="es-ES"/>
        </w:rPr>
      </w:pPr>
      <w:r w:rsidRPr="00EC5D36">
        <w:rPr>
          <w:rFonts w:ascii="Poppins" w:eastAsiaTheme="minorHAnsi" w:hAnsi="Poppins" w:cs="Poppins"/>
          <w:b/>
          <w:bCs/>
          <w:color w:val="000000" w:themeColor="text1"/>
          <w:sz w:val="22"/>
          <w:lang w:val="es-ES"/>
        </w:rPr>
        <w:t>Uniformidad para un rendimiento de color consistente con BenQ AQCOLOR</w:t>
      </w:r>
    </w:p>
    <w:p w14:paraId="07C2AB1C" w14:textId="77777777" w:rsidR="00F8687C" w:rsidRPr="00EC5D36" w:rsidRDefault="00F8687C" w:rsidP="00F8687C">
      <w:pPr>
        <w:rPr>
          <w:rFonts w:ascii="Poppins" w:eastAsiaTheme="minorHAnsi" w:hAnsi="Poppins" w:cs="Poppins"/>
          <w:color w:val="000000" w:themeColor="text1"/>
          <w:sz w:val="22"/>
          <w:lang w:val="es-ES"/>
        </w:rPr>
      </w:pPr>
      <w:r w:rsidRPr="00EC5D36">
        <w:rPr>
          <w:rFonts w:ascii="Poppins" w:eastAsiaTheme="minorHAnsi" w:hAnsi="Poppins" w:cs="Poppins"/>
          <w:color w:val="000000" w:themeColor="text1"/>
          <w:sz w:val="22"/>
          <w:lang w:val="es-ES"/>
        </w:rPr>
        <w:t>Fundamental para el rendimiento de color de BenQ Creative Pro, la tecnología AQCOLOR ofrece el marco central de gestión del color de BenQ, basado en los principios de uniformidad, consistencia y precisión. AQCOLOR integra procesos de calibración avanzados y estrictos controles de calidad para garantizar un rendimiento de color fiable en toda la Pantalla, minimizando las desviaciones cromáticas mediante una corrección avanzada de la uniformidad de esquina a esquina y manteniendo un brillo y una reproducción del color consistentes en toda la superficie. AQCOLOR ayuda a los profesionales creativos a visualizar su trabajo con confianza, evaluar el color de forma consistente en toda la Pantalla y mantener la precisión desde la Pantalla hasta el resultado final para reducir los costosos retrabajos.</w:t>
      </w:r>
    </w:p>
    <w:p w14:paraId="270119B3" w14:textId="77777777" w:rsidR="00005623" w:rsidRPr="00EC5D36" w:rsidRDefault="00005623" w:rsidP="00F8687C">
      <w:pPr>
        <w:rPr>
          <w:rFonts w:ascii="Poppins" w:eastAsiaTheme="minorHAnsi" w:hAnsi="Poppins" w:cs="Poppins"/>
          <w:color w:val="000000" w:themeColor="text1"/>
          <w:sz w:val="22"/>
          <w:lang w:val="es-ES"/>
        </w:rPr>
      </w:pPr>
    </w:p>
    <w:p w14:paraId="35246710" w14:textId="77777777" w:rsidR="00F8687C" w:rsidRPr="00EC5D36" w:rsidRDefault="00F8687C" w:rsidP="00F8687C">
      <w:pPr>
        <w:rPr>
          <w:rFonts w:ascii="Poppins" w:eastAsiaTheme="minorHAnsi" w:hAnsi="Poppins" w:cs="Poppins"/>
          <w:color w:val="000000" w:themeColor="text1"/>
          <w:sz w:val="22"/>
          <w:lang w:val="es-ES"/>
        </w:rPr>
      </w:pPr>
      <w:r w:rsidRPr="00EC5D36">
        <w:rPr>
          <w:rFonts w:ascii="Poppins" w:eastAsiaTheme="minorHAnsi" w:hAnsi="Poppins" w:cs="Poppins"/>
          <w:b/>
          <w:bCs/>
          <w:color w:val="000000" w:themeColor="text1"/>
          <w:sz w:val="22"/>
          <w:lang w:val="es-ES"/>
        </w:rPr>
        <w:t>Precisión de color certificada para profesionales</w:t>
      </w:r>
      <w:r w:rsidRPr="00EC5D36">
        <w:rPr>
          <w:rFonts w:ascii="Poppins" w:eastAsiaTheme="minorHAnsi" w:hAnsi="Poppins" w:cs="Poppins"/>
          <w:color w:val="000000" w:themeColor="text1"/>
          <w:sz w:val="22"/>
          <w:lang w:val="es-ES"/>
        </w:rPr>
        <w:br/>
        <w:t xml:space="preserve">El PD2732U cuenta con las certificaciones Calman® </w:t>
      </w:r>
      <w:proofErr w:type="spellStart"/>
      <w:r w:rsidRPr="00EC5D36">
        <w:rPr>
          <w:rFonts w:ascii="Poppins" w:eastAsiaTheme="minorHAnsi" w:hAnsi="Poppins" w:cs="Poppins"/>
          <w:color w:val="000000" w:themeColor="text1"/>
          <w:sz w:val="22"/>
          <w:lang w:val="es-ES"/>
        </w:rPr>
        <w:t>Verified</w:t>
      </w:r>
      <w:proofErr w:type="spellEnd"/>
      <w:r w:rsidRPr="00EC5D36">
        <w:rPr>
          <w:rFonts w:ascii="Poppins" w:eastAsiaTheme="minorHAnsi" w:hAnsi="Poppins" w:cs="Poppins"/>
          <w:color w:val="000000" w:themeColor="text1"/>
          <w:sz w:val="22"/>
          <w:lang w:val="es-ES"/>
        </w:rPr>
        <w:t xml:space="preserve"> y Pantone® </w:t>
      </w:r>
      <w:proofErr w:type="spellStart"/>
      <w:r w:rsidRPr="00EC5D36">
        <w:rPr>
          <w:rFonts w:ascii="Poppins" w:eastAsiaTheme="minorHAnsi" w:hAnsi="Poppins" w:cs="Poppins"/>
          <w:color w:val="000000" w:themeColor="text1"/>
          <w:sz w:val="22"/>
          <w:lang w:val="es-ES"/>
        </w:rPr>
        <w:t>Validated</w:t>
      </w:r>
      <w:proofErr w:type="spellEnd"/>
      <w:r w:rsidRPr="00EC5D36">
        <w:rPr>
          <w:rFonts w:ascii="Poppins" w:eastAsiaTheme="minorHAnsi" w:hAnsi="Poppins" w:cs="Poppins"/>
          <w:color w:val="000000" w:themeColor="text1"/>
          <w:sz w:val="22"/>
          <w:lang w:val="es-ES"/>
        </w:rPr>
        <w:t>, incluida la validación Pantone SkinTone™, lo que confirma su conformidad con estándares reconocidos del sector en materia de precisión y reproducción fiel del color. Estas certificaciones independientes establecen a BenQ Creative Pro como una referencia de confianza en precisión de color profesional y ofrecen a diseñadores y creadores plena confianza en unos resultados consistentes, desde los flujos de trabajo creativos profesionales hasta las entregas finales.</w:t>
      </w:r>
    </w:p>
    <w:p w14:paraId="5092A5B5" w14:textId="77777777" w:rsidR="00F8687C" w:rsidRPr="00EC5D36" w:rsidRDefault="00F8687C" w:rsidP="00F8687C">
      <w:pPr>
        <w:rPr>
          <w:rFonts w:ascii="Poppins" w:eastAsiaTheme="minorHAnsi" w:hAnsi="Poppins" w:cs="Poppins"/>
          <w:color w:val="000000" w:themeColor="text1"/>
          <w:sz w:val="22"/>
          <w:lang w:val="es-ES"/>
        </w:rPr>
      </w:pPr>
      <w:r w:rsidRPr="00EC5D36">
        <w:rPr>
          <w:rFonts w:ascii="Poppins" w:eastAsiaTheme="minorHAnsi" w:hAnsi="Poppins" w:cs="Poppins"/>
          <w:color w:val="000000" w:themeColor="text1"/>
          <w:sz w:val="22"/>
          <w:lang w:val="es-ES"/>
        </w:rPr>
        <w:t> </w:t>
      </w:r>
    </w:p>
    <w:p w14:paraId="3F3924E7" w14:textId="77777777" w:rsidR="00F97D0B" w:rsidRPr="00EC5D36" w:rsidRDefault="00F97D0B" w:rsidP="00F97D0B">
      <w:pPr>
        <w:rPr>
          <w:rFonts w:ascii="Poppins" w:eastAsiaTheme="minorHAnsi" w:hAnsi="Poppins" w:cs="Poppins"/>
          <w:b/>
          <w:bCs/>
          <w:color w:val="000000" w:themeColor="text1"/>
          <w:sz w:val="22"/>
          <w:lang w:val="es-ES"/>
        </w:rPr>
      </w:pPr>
      <w:r w:rsidRPr="00EC5D36">
        <w:rPr>
          <w:rFonts w:ascii="Poppins" w:eastAsiaTheme="minorHAnsi" w:hAnsi="Poppins" w:cs="Poppins"/>
          <w:b/>
          <w:bCs/>
          <w:color w:val="000000" w:themeColor="text1"/>
          <w:sz w:val="22"/>
          <w:lang w:val="es-ES"/>
        </w:rPr>
        <w:t>Optimizado para los flujos de trabajo creativos actuales</w:t>
      </w:r>
    </w:p>
    <w:p w14:paraId="0AE5E0CB" w14:textId="5894730A" w:rsidR="00297D7A" w:rsidRDefault="00F97D0B" w:rsidP="0051183B">
      <w:pPr>
        <w:rPr>
          <w:rFonts w:ascii="Poppins" w:eastAsiaTheme="minorHAnsi" w:hAnsi="Poppins" w:cs="Poppins"/>
          <w:color w:val="000000" w:themeColor="text1"/>
          <w:sz w:val="22"/>
          <w:lang w:val="es-ES"/>
        </w:rPr>
      </w:pPr>
      <w:r w:rsidRPr="00EC5D36">
        <w:rPr>
          <w:rFonts w:ascii="Poppins" w:eastAsiaTheme="minorHAnsi" w:hAnsi="Poppins" w:cs="Poppins"/>
          <w:color w:val="000000" w:themeColor="text1"/>
          <w:sz w:val="22"/>
          <w:lang w:val="es-ES"/>
        </w:rPr>
        <w:t xml:space="preserve">Como parte de la serie PD, la reconocida gama profesional de color de BenQ para diseñadores, el PD2732U se integra perfectamente en los entornos de trabajo modernos gracias a la conectividad Thunderbolt para transmitir vídeo, datos y </w:t>
      </w:r>
      <w:r w:rsidRPr="00EC5D36">
        <w:rPr>
          <w:rFonts w:ascii="Poppins" w:eastAsiaTheme="minorHAnsi" w:hAnsi="Poppins" w:cs="Poppins"/>
          <w:color w:val="000000" w:themeColor="text1"/>
          <w:sz w:val="22"/>
          <w:lang w:val="es-ES"/>
        </w:rPr>
        <w:lastRenderedPageBreak/>
        <w:t>alimentación mediante un único cable. Además, la capacidad de conexión en cadena permite configurar varios monitores y la función KVM integrada permite controlar varios sistemas desde un único conjunto de dispositivos de entrada.</w:t>
      </w:r>
    </w:p>
    <w:p w14:paraId="055F1858" w14:textId="77777777" w:rsidR="00C96DFF" w:rsidRPr="00C96DFF" w:rsidRDefault="00C96DFF" w:rsidP="0051183B">
      <w:pPr>
        <w:rPr>
          <w:rFonts w:ascii="Poppins" w:eastAsiaTheme="minorHAnsi" w:hAnsi="Poppins" w:cs="Poppins"/>
          <w:color w:val="000000" w:themeColor="text1"/>
          <w:sz w:val="22"/>
          <w:lang w:val="es-ES"/>
        </w:rPr>
      </w:pPr>
    </w:p>
    <w:p w14:paraId="04B63EBE" w14:textId="771C11DA" w:rsidR="0051183B" w:rsidRPr="00023079" w:rsidRDefault="0051183B" w:rsidP="0051183B">
      <w:pPr>
        <w:rPr>
          <w:rFonts w:ascii="Poppins" w:eastAsiaTheme="minorHAnsi" w:hAnsi="Poppins" w:cs="Poppins"/>
          <w:b/>
          <w:bCs/>
          <w:color w:val="000000" w:themeColor="text1"/>
          <w:sz w:val="24"/>
          <w:szCs w:val="24"/>
          <w:lang w:val="es-ES"/>
        </w:rPr>
      </w:pPr>
      <w:r w:rsidRPr="00023079">
        <w:rPr>
          <w:rFonts w:ascii="Poppins" w:eastAsiaTheme="minorHAnsi" w:hAnsi="Poppins" w:cs="Poppins"/>
          <w:b/>
          <w:bCs/>
          <w:color w:val="000000" w:themeColor="text1"/>
          <w:sz w:val="24"/>
          <w:szCs w:val="24"/>
          <w:lang w:val="es-ES"/>
        </w:rPr>
        <w:t>Características principales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5"/>
        <w:gridCol w:w="6595"/>
      </w:tblGrid>
      <w:tr w:rsidR="0051183B" w:rsidRPr="00023079" w14:paraId="63F78E19"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7030A0"/>
            <w:tcMar>
              <w:top w:w="80" w:type="dxa"/>
              <w:left w:w="120" w:type="dxa"/>
              <w:bottom w:w="80" w:type="dxa"/>
              <w:right w:w="120" w:type="dxa"/>
            </w:tcMar>
            <w:hideMark/>
          </w:tcPr>
          <w:p w14:paraId="5E91BE56" w14:textId="77777777" w:rsidR="0051183B" w:rsidRPr="00023079" w:rsidRDefault="0051183B" w:rsidP="0051183B">
            <w:pPr>
              <w:rPr>
                <w:rFonts w:ascii="Poppins" w:eastAsiaTheme="minorHAnsi" w:hAnsi="Poppins" w:cs="Poppins"/>
                <w:b/>
                <w:bCs/>
                <w:color w:val="000000" w:themeColor="text1"/>
                <w:sz w:val="24"/>
                <w:szCs w:val="24"/>
                <w:lang w:val="es-ES"/>
              </w:rPr>
            </w:pPr>
            <w:r w:rsidRPr="00023079">
              <w:rPr>
                <w:rFonts w:ascii="Poppins" w:eastAsiaTheme="minorHAnsi" w:hAnsi="Poppins" w:cs="Poppins"/>
                <w:b/>
                <w:bCs/>
                <w:color w:val="000000" w:themeColor="text1"/>
                <w:sz w:val="24"/>
                <w:szCs w:val="24"/>
                <w:lang w:val="es-ES"/>
              </w:rPr>
              <w:t>Ámbito</w:t>
            </w:r>
          </w:p>
        </w:tc>
        <w:tc>
          <w:tcPr>
            <w:tcW w:w="6595" w:type="dxa"/>
            <w:tcBorders>
              <w:top w:val="single" w:sz="4" w:space="0" w:color="auto"/>
              <w:left w:val="single" w:sz="4" w:space="0" w:color="auto"/>
              <w:bottom w:val="single" w:sz="4" w:space="0" w:color="auto"/>
              <w:right w:val="single" w:sz="4" w:space="0" w:color="auto"/>
            </w:tcBorders>
            <w:shd w:val="clear" w:color="auto" w:fill="7030A0"/>
            <w:tcMar>
              <w:top w:w="80" w:type="dxa"/>
              <w:left w:w="120" w:type="dxa"/>
              <w:bottom w:w="80" w:type="dxa"/>
              <w:right w:w="120" w:type="dxa"/>
            </w:tcMar>
            <w:hideMark/>
          </w:tcPr>
          <w:p w14:paraId="183FD5BE" w14:textId="77777777" w:rsidR="0051183B" w:rsidRPr="00023079" w:rsidRDefault="0051183B" w:rsidP="0051183B">
            <w:pPr>
              <w:rPr>
                <w:rFonts w:ascii="Poppins" w:eastAsiaTheme="minorHAnsi" w:hAnsi="Poppins" w:cs="Poppins"/>
                <w:b/>
                <w:bCs/>
                <w:color w:val="000000" w:themeColor="text1"/>
                <w:sz w:val="24"/>
                <w:szCs w:val="24"/>
                <w:lang w:val="es-ES"/>
              </w:rPr>
            </w:pPr>
            <w:r w:rsidRPr="00023079">
              <w:rPr>
                <w:rFonts w:ascii="Poppins" w:eastAsiaTheme="minorHAnsi" w:hAnsi="Poppins" w:cs="Poppins"/>
                <w:b/>
                <w:bCs/>
                <w:color w:val="000000" w:themeColor="text1"/>
                <w:sz w:val="24"/>
                <w:szCs w:val="24"/>
                <w:lang w:val="es-ES"/>
              </w:rPr>
              <w:t>Detalle</w:t>
            </w:r>
          </w:p>
        </w:tc>
      </w:tr>
      <w:tr w:rsidR="0051183B" w:rsidRPr="00023079" w14:paraId="6B7180B8"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2B133824"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Panel y resolución</w:t>
            </w:r>
          </w:p>
        </w:tc>
        <w:tc>
          <w:tcPr>
            <w:tcW w:w="659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1B5D7580" w14:textId="77777777" w:rsidR="0051183B" w:rsidRPr="00297D7A" w:rsidRDefault="0051183B" w:rsidP="0051183B">
            <w:pPr>
              <w:rPr>
                <w:rFonts w:ascii="Poppins" w:eastAsiaTheme="minorHAnsi" w:hAnsi="Poppins" w:cs="Poppins"/>
                <w:color w:val="000000" w:themeColor="text1"/>
                <w:szCs w:val="20"/>
              </w:rPr>
            </w:pPr>
            <w:r w:rsidRPr="00297D7A">
              <w:rPr>
                <w:rFonts w:ascii="Poppins" w:eastAsiaTheme="minorHAnsi" w:hAnsi="Poppins" w:cs="Poppins"/>
                <w:color w:val="000000" w:themeColor="text1"/>
                <w:szCs w:val="20"/>
              </w:rPr>
              <w:t xml:space="preserve">27" 4K, panel Nano Matte Black </w:t>
            </w:r>
            <w:proofErr w:type="spellStart"/>
            <w:r w:rsidRPr="00297D7A">
              <w:rPr>
                <w:rFonts w:ascii="Poppins" w:eastAsiaTheme="minorHAnsi" w:hAnsi="Poppins" w:cs="Poppins"/>
                <w:color w:val="000000" w:themeColor="text1"/>
                <w:szCs w:val="20"/>
              </w:rPr>
              <w:t>antirreflejos</w:t>
            </w:r>
            <w:proofErr w:type="spellEnd"/>
          </w:p>
        </w:tc>
      </w:tr>
      <w:tr w:rsidR="0051183B" w:rsidRPr="00023079" w14:paraId="6E20BAED"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7C640F25"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Cobertura de color</w:t>
            </w:r>
          </w:p>
        </w:tc>
        <w:tc>
          <w:tcPr>
            <w:tcW w:w="659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25A60BD5"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 xml:space="preserve">99% Adobe RGB · 99% </w:t>
            </w:r>
            <w:proofErr w:type="spellStart"/>
            <w:r w:rsidRPr="00297D7A">
              <w:rPr>
                <w:rFonts w:ascii="Poppins" w:eastAsiaTheme="minorHAnsi" w:hAnsi="Poppins" w:cs="Poppins"/>
                <w:color w:val="000000" w:themeColor="text1"/>
                <w:szCs w:val="20"/>
                <w:lang w:val="es-ES"/>
              </w:rPr>
              <w:t>Display</w:t>
            </w:r>
            <w:proofErr w:type="spellEnd"/>
            <w:r w:rsidRPr="00297D7A">
              <w:rPr>
                <w:rFonts w:ascii="Poppins" w:eastAsiaTheme="minorHAnsi" w:hAnsi="Poppins" w:cs="Poppins"/>
                <w:color w:val="000000" w:themeColor="text1"/>
                <w:szCs w:val="20"/>
                <w:lang w:val="es-ES"/>
              </w:rPr>
              <w:t xml:space="preserve"> P3 · 100% </w:t>
            </w:r>
            <w:proofErr w:type="spellStart"/>
            <w:r w:rsidRPr="00297D7A">
              <w:rPr>
                <w:rFonts w:ascii="Poppins" w:eastAsiaTheme="minorHAnsi" w:hAnsi="Poppins" w:cs="Poppins"/>
                <w:color w:val="000000" w:themeColor="text1"/>
                <w:szCs w:val="20"/>
                <w:lang w:val="es-ES"/>
              </w:rPr>
              <w:t>sRGB</w:t>
            </w:r>
            <w:proofErr w:type="spellEnd"/>
            <w:r w:rsidRPr="00297D7A">
              <w:rPr>
                <w:rFonts w:ascii="Poppins" w:eastAsiaTheme="minorHAnsi" w:hAnsi="Poppins" w:cs="Poppins"/>
                <w:color w:val="000000" w:themeColor="text1"/>
                <w:szCs w:val="20"/>
                <w:lang w:val="es-ES"/>
              </w:rPr>
              <w:t>/Rec.709 · Delta E ≤ 2</w:t>
            </w:r>
          </w:p>
        </w:tc>
      </w:tr>
      <w:tr w:rsidR="0051183B" w:rsidRPr="00A34BD0" w14:paraId="5753B75E"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78AFFA0D"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Uniformidad</w:t>
            </w:r>
          </w:p>
        </w:tc>
        <w:tc>
          <w:tcPr>
            <w:tcW w:w="659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1218AA8E"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Calibración global de panel completo ajustada a la percepción visual humana</w:t>
            </w:r>
          </w:p>
        </w:tc>
      </w:tr>
      <w:tr w:rsidR="0051183B" w:rsidRPr="00A34BD0" w14:paraId="100C9D81"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41AE6A50"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Conectividad</w:t>
            </w:r>
          </w:p>
        </w:tc>
        <w:tc>
          <w:tcPr>
            <w:tcW w:w="659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5B315EBF"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Thunderbolt 4 (hasta 40 Gbps y 90 W de carga), Daisy Chain, KVM integrado</w:t>
            </w:r>
          </w:p>
        </w:tc>
      </w:tr>
      <w:tr w:rsidR="0051183B" w:rsidRPr="00023079" w14:paraId="2BC47312"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4F0328B7"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Compatibilidad Mac</w:t>
            </w:r>
          </w:p>
        </w:tc>
        <w:tc>
          <w:tcPr>
            <w:tcW w:w="659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473DDFED" w14:textId="77777777" w:rsidR="0051183B" w:rsidRPr="00297D7A" w:rsidRDefault="0051183B" w:rsidP="0051183B">
            <w:pPr>
              <w:rPr>
                <w:rFonts w:ascii="Poppins" w:eastAsiaTheme="minorHAnsi" w:hAnsi="Poppins" w:cs="Poppins"/>
                <w:color w:val="000000" w:themeColor="text1"/>
                <w:szCs w:val="20"/>
              </w:rPr>
            </w:pPr>
            <w:r w:rsidRPr="00297D7A">
              <w:rPr>
                <w:rFonts w:ascii="Poppins" w:eastAsiaTheme="minorHAnsi" w:hAnsi="Poppins" w:cs="Poppins"/>
                <w:color w:val="000000" w:themeColor="text1"/>
                <w:szCs w:val="20"/>
              </w:rPr>
              <w:t xml:space="preserve">Modo M-book, </w:t>
            </w:r>
            <w:proofErr w:type="spellStart"/>
            <w:r w:rsidRPr="00297D7A">
              <w:rPr>
                <w:rFonts w:ascii="Poppins" w:eastAsiaTheme="minorHAnsi" w:hAnsi="Poppins" w:cs="Poppins"/>
                <w:color w:val="000000" w:themeColor="text1"/>
                <w:szCs w:val="20"/>
              </w:rPr>
              <w:t>iKeyboard</w:t>
            </w:r>
            <w:proofErr w:type="spellEnd"/>
            <w:r w:rsidRPr="00297D7A">
              <w:rPr>
                <w:rFonts w:ascii="Poppins" w:eastAsiaTheme="minorHAnsi" w:hAnsi="Poppins" w:cs="Poppins"/>
                <w:color w:val="000000" w:themeColor="text1"/>
                <w:szCs w:val="20"/>
              </w:rPr>
              <w:t xml:space="preserve"> Control e </w:t>
            </w:r>
            <w:proofErr w:type="spellStart"/>
            <w:r w:rsidRPr="00297D7A">
              <w:rPr>
                <w:rFonts w:ascii="Poppins" w:eastAsiaTheme="minorHAnsi" w:hAnsi="Poppins" w:cs="Poppins"/>
                <w:color w:val="000000" w:themeColor="text1"/>
                <w:szCs w:val="20"/>
              </w:rPr>
              <w:t>iDevice</w:t>
            </w:r>
            <w:proofErr w:type="spellEnd"/>
            <w:r w:rsidRPr="00297D7A">
              <w:rPr>
                <w:rFonts w:ascii="Poppins" w:eastAsiaTheme="minorHAnsi" w:hAnsi="Poppins" w:cs="Poppins"/>
                <w:color w:val="000000" w:themeColor="text1"/>
                <w:szCs w:val="20"/>
              </w:rPr>
              <w:t xml:space="preserve"> Color Sync</w:t>
            </w:r>
          </w:p>
        </w:tc>
      </w:tr>
      <w:tr w:rsidR="0051183B" w:rsidRPr="00A34BD0" w14:paraId="60B2715B"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2A7F4990"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Ergonomía y control</w:t>
            </w:r>
          </w:p>
        </w:tc>
        <w:tc>
          <w:tcPr>
            <w:tcW w:w="6595" w:type="dxa"/>
            <w:tcBorders>
              <w:top w:val="single" w:sz="4" w:space="0" w:color="auto"/>
              <w:left w:val="single" w:sz="4" w:space="0" w:color="auto"/>
              <w:bottom w:val="single" w:sz="4" w:space="0" w:color="auto"/>
              <w:right w:val="single" w:sz="4" w:space="0" w:color="auto"/>
            </w:tcBorders>
            <w:shd w:val="clear" w:color="auto" w:fill="FFFFFF"/>
            <w:tcMar>
              <w:top w:w="80" w:type="dxa"/>
              <w:left w:w="120" w:type="dxa"/>
              <w:bottom w:w="80" w:type="dxa"/>
              <w:right w:w="120" w:type="dxa"/>
            </w:tcMar>
            <w:hideMark/>
          </w:tcPr>
          <w:p w14:paraId="7035F2D9"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 xml:space="preserve">Soporte con ajuste de altura y Wireless </w:t>
            </w:r>
            <w:proofErr w:type="spellStart"/>
            <w:r w:rsidRPr="00297D7A">
              <w:rPr>
                <w:rFonts w:ascii="Poppins" w:eastAsiaTheme="minorHAnsi" w:hAnsi="Poppins" w:cs="Poppins"/>
                <w:color w:val="000000" w:themeColor="text1"/>
                <w:szCs w:val="20"/>
                <w:lang w:val="es-ES"/>
              </w:rPr>
              <w:t>Hotkey</w:t>
            </w:r>
            <w:proofErr w:type="spellEnd"/>
            <w:r w:rsidRPr="00297D7A">
              <w:rPr>
                <w:rFonts w:ascii="Poppins" w:eastAsiaTheme="minorHAnsi" w:hAnsi="Poppins" w:cs="Poppins"/>
                <w:color w:val="000000" w:themeColor="text1"/>
                <w:szCs w:val="20"/>
                <w:lang w:val="es-ES"/>
              </w:rPr>
              <w:t xml:space="preserve"> Puck</w:t>
            </w:r>
          </w:p>
        </w:tc>
      </w:tr>
      <w:tr w:rsidR="0051183B" w:rsidRPr="00023079" w14:paraId="539DF8D8" w14:textId="77777777" w:rsidTr="00297D7A">
        <w:tc>
          <w:tcPr>
            <w:tcW w:w="240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38B39A15"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Calibración</w:t>
            </w:r>
          </w:p>
        </w:tc>
        <w:tc>
          <w:tcPr>
            <w:tcW w:w="6595" w:type="dxa"/>
            <w:tcBorders>
              <w:top w:val="single" w:sz="4" w:space="0" w:color="auto"/>
              <w:left w:val="single" w:sz="4" w:space="0" w:color="auto"/>
              <w:bottom w:val="single" w:sz="4" w:space="0" w:color="auto"/>
              <w:right w:val="single" w:sz="4" w:space="0" w:color="auto"/>
            </w:tcBorders>
            <w:shd w:val="clear" w:color="auto" w:fill="F3F1F7"/>
            <w:tcMar>
              <w:top w:w="80" w:type="dxa"/>
              <w:left w:w="120" w:type="dxa"/>
              <w:bottom w:w="80" w:type="dxa"/>
              <w:right w:w="120" w:type="dxa"/>
            </w:tcMar>
            <w:hideMark/>
          </w:tcPr>
          <w:p w14:paraId="5D2AF24A" w14:textId="77777777" w:rsidR="0051183B" w:rsidRPr="00297D7A" w:rsidRDefault="0051183B" w:rsidP="0051183B">
            <w:pPr>
              <w:rPr>
                <w:rFonts w:ascii="Poppins" w:eastAsiaTheme="minorHAnsi" w:hAnsi="Poppins" w:cs="Poppins"/>
                <w:color w:val="000000" w:themeColor="text1"/>
                <w:szCs w:val="20"/>
                <w:lang w:val="es-ES"/>
              </w:rPr>
            </w:pPr>
            <w:r w:rsidRPr="00297D7A">
              <w:rPr>
                <w:rFonts w:ascii="Poppins" w:eastAsiaTheme="minorHAnsi" w:hAnsi="Poppins" w:cs="Poppins"/>
                <w:color w:val="000000" w:themeColor="text1"/>
                <w:szCs w:val="20"/>
                <w:lang w:val="es-ES"/>
              </w:rPr>
              <w:t>Software AQCOLOR Pilot</w:t>
            </w:r>
          </w:p>
        </w:tc>
      </w:tr>
    </w:tbl>
    <w:p w14:paraId="6E6048E3" w14:textId="77777777" w:rsidR="0051183B" w:rsidRPr="00023079" w:rsidRDefault="0051183B" w:rsidP="0051183B">
      <w:pPr>
        <w:rPr>
          <w:rFonts w:ascii="Poppins" w:eastAsiaTheme="minorHAnsi" w:hAnsi="Poppins" w:cs="Poppins"/>
          <w:b/>
          <w:bCs/>
          <w:color w:val="000000" w:themeColor="text1"/>
          <w:sz w:val="24"/>
          <w:szCs w:val="24"/>
          <w:lang w:val="es-ES"/>
        </w:rPr>
      </w:pPr>
    </w:p>
    <w:p w14:paraId="7EEEBC31" w14:textId="77777777" w:rsidR="0067350C" w:rsidRPr="00C96DFF" w:rsidRDefault="0067350C" w:rsidP="00C96DFF">
      <w:pPr>
        <w:widowControl/>
        <w:shd w:val="clear" w:color="auto" w:fill="FFFFFF"/>
        <w:wordWrap/>
        <w:autoSpaceDE/>
        <w:autoSpaceDN/>
        <w:spacing w:after="150" w:line="240" w:lineRule="auto"/>
        <w:rPr>
          <w:rFonts w:ascii="Poppins" w:eastAsia="Times New Roman" w:hAnsi="Poppins" w:cs="Poppins"/>
          <w:color w:val="000000"/>
          <w:spacing w:val="8"/>
          <w:kern w:val="0"/>
          <w:sz w:val="22"/>
          <w:lang w:val="es-ES" w:eastAsia="es-ES"/>
        </w:rPr>
      </w:pPr>
      <w:r w:rsidRPr="00C96DFF">
        <w:rPr>
          <w:rFonts w:ascii="Poppins" w:eastAsia="Times New Roman" w:hAnsi="Poppins" w:cs="Poppins"/>
          <w:color w:val="000000"/>
          <w:spacing w:val="8"/>
          <w:kern w:val="0"/>
          <w:sz w:val="22"/>
          <w:lang w:val="es-ES" w:eastAsia="es-ES"/>
        </w:rPr>
        <w:t>El PD2732U también ofrece compatibilidad con Mac, incluido el M-</w:t>
      </w:r>
      <w:proofErr w:type="spellStart"/>
      <w:r w:rsidRPr="00C96DFF">
        <w:rPr>
          <w:rFonts w:ascii="Poppins" w:eastAsia="Times New Roman" w:hAnsi="Poppins" w:cs="Poppins"/>
          <w:color w:val="000000"/>
          <w:spacing w:val="8"/>
          <w:kern w:val="0"/>
          <w:sz w:val="22"/>
          <w:lang w:val="es-ES" w:eastAsia="es-ES"/>
        </w:rPr>
        <w:t>book</w:t>
      </w:r>
      <w:proofErr w:type="spellEnd"/>
      <w:r w:rsidRPr="00C96DFF">
        <w:rPr>
          <w:rFonts w:ascii="Poppins" w:eastAsia="Times New Roman" w:hAnsi="Poppins" w:cs="Poppins"/>
          <w:color w:val="000000"/>
          <w:spacing w:val="8"/>
          <w:kern w:val="0"/>
          <w:sz w:val="22"/>
          <w:lang w:val="es-ES" w:eastAsia="es-ES"/>
        </w:rPr>
        <w:t xml:space="preserve"> Modo, que elimina las diferencias entre las Pantallas Mac y el monitor; </w:t>
      </w:r>
      <w:proofErr w:type="spellStart"/>
      <w:r w:rsidRPr="00C96DFF">
        <w:rPr>
          <w:rFonts w:ascii="Poppins" w:eastAsia="Times New Roman" w:hAnsi="Poppins" w:cs="Poppins"/>
          <w:color w:val="000000"/>
          <w:spacing w:val="8"/>
          <w:kern w:val="0"/>
          <w:sz w:val="22"/>
          <w:lang w:val="es-ES" w:eastAsia="es-ES"/>
        </w:rPr>
        <w:t>iDevice</w:t>
      </w:r>
      <w:proofErr w:type="spellEnd"/>
      <w:r w:rsidRPr="00C96DFF">
        <w:rPr>
          <w:rFonts w:ascii="Poppins" w:eastAsia="Times New Roman" w:hAnsi="Poppins" w:cs="Poppins"/>
          <w:color w:val="000000"/>
          <w:spacing w:val="8"/>
          <w:kern w:val="0"/>
          <w:sz w:val="22"/>
          <w:lang w:val="es-ES" w:eastAsia="es-ES"/>
        </w:rPr>
        <w:t xml:space="preserve"> Color </w:t>
      </w:r>
      <w:proofErr w:type="spellStart"/>
      <w:r w:rsidRPr="00C96DFF">
        <w:rPr>
          <w:rFonts w:ascii="Poppins" w:eastAsia="Times New Roman" w:hAnsi="Poppins" w:cs="Poppins"/>
          <w:color w:val="000000"/>
          <w:spacing w:val="8"/>
          <w:kern w:val="0"/>
          <w:sz w:val="22"/>
          <w:lang w:val="es-ES" w:eastAsia="es-ES"/>
        </w:rPr>
        <w:t>Sync</w:t>
      </w:r>
      <w:proofErr w:type="spellEnd"/>
      <w:r w:rsidRPr="00C96DFF">
        <w:rPr>
          <w:rFonts w:ascii="Poppins" w:eastAsia="Times New Roman" w:hAnsi="Poppins" w:cs="Poppins"/>
          <w:color w:val="000000"/>
          <w:spacing w:val="8"/>
          <w:kern w:val="0"/>
          <w:sz w:val="22"/>
          <w:lang w:val="es-ES" w:eastAsia="es-ES"/>
        </w:rPr>
        <w:t xml:space="preserve">, para previsualizar con precisión contenidos de iPhone y iPad; e </w:t>
      </w:r>
      <w:proofErr w:type="spellStart"/>
      <w:r w:rsidRPr="00C96DFF">
        <w:rPr>
          <w:rFonts w:ascii="Poppins" w:eastAsia="Times New Roman" w:hAnsi="Poppins" w:cs="Poppins"/>
          <w:color w:val="000000"/>
          <w:spacing w:val="8"/>
          <w:kern w:val="0"/>
          <w:sz w:val="22"/>
          <w:lang w:val="es-ES" w:eastAsia="es-ES"/>
        </w:rPr>
        <w:t>iKeyboard</w:t>
      </w:r>
      <w:proofErr w:type="spellEnd"/>
      <w:r w:rsidRPr="00C96DFF">
        <w:rPr>
          <w:rFonts w:ascii="Poppins" w:eastAsia="Times New Roman" w:hAnsi="Poppins" w:cs="Poppins"/>
          <w:color w:val="000000"/>
          <w:spacing w:val="8"/>
          <w:kern w:val="0"/>
          <w:sz w:val="22"/>
          <w:lang w:val="es-ES" w:eastAsia="es-ES"/>
        </w:rPr>
        <w:t xml:space="preserve"> Control, para ajustar el brillo y el volumen directamente desde los teclados Mac.</w:t>
      </w:r>
    </w:p>
    <w:p w14:paraId="744AD817" w14:textId="2E5A6334" w:rsidR="00C96DFF" w:rsidRPr="00C96DFF" w:rsidRDefault="0067350C" w:rsidP="001B4B89">
      <w:pPr>
        <w:widowControl/>
        <w:shd w:val="clear" w:color="auto" w:fill="FFFFFF"/>
        <w:wordWrap/>
        <w:autoSpaceDE/>
        <w:autoSpaceDN/>
        <w:spacing w:after="150" w:line="240" w:lineRule="auto"/>
        <w:rPr>
          <w:rFonts w:ascii="Poppins" w:eastAsia="Times New Roman" w:hAnsi="Poppins" w:cs="Poppins"/>
          <w:color w:val="000000"/>
          <w:spacing w:val="8"/>
          <w:kern w:val="0"/>
          <w:sz w:val="22"/>
          <w:lang w:val="es-ES" w:eastAsia="es-ES"/>
        </w:rPr>
      </w:pPr>
      <w:r w:rsidRPr="00C96DFF">
        <w:rPr>
          <w:rFonts w:ascii="Poppins" w:eastAsia="Times New Roman" w:hAnsi="Poppins" w:cs="Poppins"/>
          <w:color w:val="000000"/>
          <w:spacing w:val="8"/>
          <w:kern w:val="0"/>
          <w:sz w:val="22"/>
          <w:lang w:val="es-ES" w:eastAsia="es-ES"/>
        </w:rPr>
        <w:t>Con el lanzamiento de BenQ Creative Pro y la presentación del PD2732U, BenQ continúa con su misión de proporcionar a los creadores profesionales Pantallas diseñadas para ofrecer un color fiable, un rendimiento consistente y confianza en cada etapa del proceso creativo.</w:t>
      </w:r>
    </w:p>
    <w:p w14:paraId="2C3C64DD" w14:textId="0AF383F6" w:rsidR="00EA7752" w:rsidRPr="001B4B89" w:rsidRDefault="001B4B89" w:rsidP="00D0636A">
      <w:pPr>
        <w:rPr>
          <w:rFonts w:ascii="Poppins" w:eastAsiaTheme="minorHAnsi" w:hAnsi="Poppins" w:cs="Poppins"/>
          <w:bCs/>
          <w:color w:val="000000" w:themeColor="text1"/>
          <w:sz w:val="22"/>
          <w:lang w:val="es-ES"/>
        </w:rPr>
      </w:pPr>
      <w:r w:rsidRPr="001B4B89">
        <w:rPr>
          <w:rFonts w:ascii="Poppins" w:eastAsiaTheme="minorHAnsi" w:hAnsi="Poppins" w:cs="Poppins"/>
          <w:bCs/>
          <w:color w:val="000000" w:themeColor="text1"/>
          <w:sz w:val="22"/>
          <w:lang w:val="es-ES"/>
        </w:rPr>
        <w:t>La disponibilidad y las fechas de lanzamiento pueden variar según la región. Visita el sitio web local de BenQ para obtener más información. Para obtener más información sobre BenQ Creative Pro y el PD2732U, visita:</w:t>
      </w:r>
      <w:r w:rsidR="007969FD">
        <w:rPr>
          <w:rFonts w:ascii="Poppins" w:eastAsiaTheme="minorHAnsi" w:hAnsi="Poppins" w:cs="Poppins"/>
          <w:bCs/>
          <w:color w:val="000000" w:themeColor="text1"/>
          <w:sz w:val="22"/>
          <w:lang w:val="es-ES"/>
        </w:rPr>
        <w:t xml:space="preserve"> </w:t>
      </w:r>
      <w:hyperlink r:id="rId11" w:history="1">
        <w:r w:rsidR="007969FD" w:rsidRPr="007969FD">
          <w:rPr>
            <w:rStyle w:val="Hipervnculo"/>
            <w:rFonts w:ascii="Poppins" w:eastAsiaTheme="minorHAnsi" w:hAnsi="Poppins" w:cs="Poppins"/>
            <w:bCs/>
            <w:sz w:val="22"/>
            <w:lang w:val="es-ES"/>
          </w:rPr>
          <w:t>https://www.benq.com/es-es/monitor/creative-pro.html</w:t>
        </w:r>
      </w:hyperlink>
      <w:r w:rsidR="007969FD">
        <w:rPr>
          <w:rFonts w:ascii="Poppins" w:eastAsiaTheme="minorHAnsi" w:hAnsi="Poppins" w:cs="Poppins"/>
          <w:bCs/>
          <w:color w:val="000000" w:themeColor="text1"/>
          <w:sz w:val="22"/>
          <w:lang w:val="es-ES"/>
        </w:rPr>
        <w:t xml:space="preserve"> o contacta con Rodolfo Biber</w:t>
      </w:r>
      <w:r w:rsidR="00861251">
        <w:rPr>
          <w:rFonts w:ascii="Poppins" w:eastAsiaTheme="minorHAnsi" w:hAnsi="Poppins" w:cs="Poppins"/>
          <w:bCs/>
          <w:color w:val="000000" w:themeColor="text1"/>
          <w:sz w:val="22"/>
          <w:lang w:val="es-ES"/>
        </w:rPr>
        <w:t xml:space="preserve">, S.A. </w:t>
      </w:r>
      <w:hyperlink r:id="rId12" w:history="1">
        <w:r w:rsidR="00A55719" w:rsidRPr="00C17A58">
          <w:rPr>
            <w:rStyle w:val="Hipervnculo"/>
            <w:rFonts w:ascii="Poppins" w:eastAsiaTheme="minorHAnsi" w:hAnsi="Poppins" w:cs="Poppins"/>
            <w:bCs/>
            <w:sz w:val="22"/>
            <w:lang w:val="es-ES"/>
          </w:rPr>
          <w:t>https://www.robisa.es/contacto/</w:t>
        </w:r>
      </w:hyperlink>
      <w:r w:rsidR="00A55719">
        <w:rPr>
          <w:rFonts w:ascii="Poppins" w:eastAsiaTheme="minorHAnsi" w:hAnsi="Poppins" w:cs="Poppins"/>
          <w:bCs/>
          <w:color w:val="000000" w:themeColor="text1"/>
          <w:sz w:val="22"/>
          <w:lang w:val="es-ES"/>
        </w:rPr>
        <w:t>.</w:t>
      </w:r>
    </w:p>
    <w:p w14:paraId="22A9543E" w14:textId="77777777" w:rsidR="00A55719" w:rsidRPr="00A55719" w:rsidRDefault="00A55719" w:rsidP="00A55719">
      <w:pPr>
        <w:rPr>
          <w:rFonts w:ascii="Poppins" w:hAnsi="Poppins" w:cs="Poppins"/>
          <w:b/>
          <w:bCs/>
          <w:color w:val="000000" w:themeColor="text1"/>
          <w:sz w:val="22"/>
          <w:lang w:val="es-ES"/>
        </w:rPr>
      </w:pPr>
      <w:r w:rsidRPr="00A55719">
        <w:rPr>
          <w:rFonts w:ascii="Poppins" w:hAnsi="Poppins" w:cs="Poppins"/>
          <w:b/>
          <w:bCs/>
          <w:color w:val="000000" w:themeColor="text1"/>
          <w:sz w:val="22"/>
          <w:u w:val="single"/>
          <w:lang w:val="es-ES"/>
        </w:rPr>
        <w:lastRenderedPageBreak/>
        <w:t xml:space="preserve">Acerca de BenQ </w:t>
      </w:r>
      <w:proofErr w:type="spellStart"/>
      <w:r w:rsidRPr="00A55719">
        <w:rPr>
          <w:rFonts w:ascii="Poppins" w:hAnsi="Poppins" w:cs="Poppins"/>
          <w:b/>
          <w:bCs/>
          <w:color w:val="000000" w:themeColor="text1"/>
          <w:sz w:val="22"/>
          <w:u w:val="single"/>
          <w:lang w:val="es-ES"/>
        </w:rPr>
        <w:t>Corporation</w:t>
      </w:r>
      <w:proofErr w:type="spellEnd"/>
    </w:p>
    <w:p w14:paraId="1EA06A0D" w14:textId="23AC535E" w:rsidR="00A55719" w:rsidRPr="00A55719" w:rsidRDefault="00A55719" w:rsidP="00A55719">
      <w:pPr>
        <w:rPr>
          <w:rFonts w:ascii="Poppins" w:hAnsi="Poppins" w:cs="Poppins"/>
          <w:color w:val="000000" w:themeColor="text1"/>
          <w:sz w:val="22"/>
          <w:lang w:val="es-ES"/>
        </w:rPr>
      </w:pPr>
      <w:r w:rsidRPr="00A55719">
        <w:rPr>
          <w:rFonts w:ascii="Poppins" w:hAnsi="Poppins" w:cs="Poppins"/>
          <w:color w:val="000000" w:themeColor="text1"/>
          <w:sz w:val="22"/>
          <w:lang w:val="es-ES"/>
        </w:rPr>
        <w:t xml:space="preserve">BenQ </w:t>
      </w:r>
      <w:proofErr w:type="spellStart"/>
      <w:r w:rsidRPr="00A55719">
        <w:rPr>
          <w:rFonts w:ascii="Poppins" w:hAnsi="Poppins" w:cs="Poppins"/>
          <w:color w:val="000000" w:themeColor="text1"/>
          <w:sz w:val="22"/>
          <w:lang w:val="es-ES"/>
        </w:rPr>
        <w:t>Corporation</w:t>
      </w:r>
      <w:proofErr w:type="spellEnd"/>
      <w:r w:rsidRPr="00A55719">
        <w:rPr>
          <w:rFonts w:ascii="Poppins" w:hAnsi="Poppins" w:cs="Poppins"/>
          <w:color w:val="000000" w:themeColor="text1"/>
          <w:sz w:val="22"/>
          <w:lang w:val="es-ES"/>
        </w:rPr>
        <w:t xml:space="preserve"> es un proveedor líder mundial de productos y soluciones tecnológicas, con más de 30 años de experiencia en tecnologías de Pantalla. Desde que presentó su promesa de marca —“</w:t>
      </w:r>
      <w:proofErr w:type="spellStart"/>
      <w:r w:rsidRPr="00A55719">
        <w:rPr>
          <w:rFonts w:ascii="Poppins" w:hAnsi="Poppins" w:cs="Poppins"/>
          <w:color w:val="000000" w:themeColor="text1"/>
          <w:sz w:val="22"/>
          <w:lang w:val="es-ES"/>
        </w:rPr>
        <w:t>Bringing</w:t>
      </w:r>
      <w:proofErr w:type="spellEnd"/>
      <w:r w:rsidRPr="00A55719">
        <w:rPr>
          <w:rFonts w:ascii="Poppins" w:hAnsi="Poppins" w:cs="Poppins"/>
          <w:color w:val="000000" w:themeColor="text1"/>
          <w:sz w:val="22"/>
          <w:lang w:val="es-ES"/>
        </w:rPr>
        <w:t xml:space="preserve"> </w:t>
      </w:r>
      <w:proofErr w:type="spellStart"/>
      <w:r w:rsidRPr="00A55719">
        <w:rPr>
          <w:rFonts w:ascii="Poppins" w:hAnsi="Poppins" w:cs="Poppins"/>
          <w:color w:val="000000" w:themeColor="text1"/>
          <w:sz w:val="22"/>
          <w:lang w:val="es-ES"/>
        </w:rPr>
        <w:t>Enjoyment</w:t>
      </w:r>
      <w:proofErr w:type="spellEnd"/>
      <w:r w:rsidRPr="00A55719">
        <w:rPr>
          <w:rFonts w:ascii="Poppins" w:hAnsi="Poppins" w:cs="Poppins"/>
          <w:color w:val="000000" w:themeColor="text1"/>
          <w:sz w:val="22"/>
          <w:lang w:val="es-ES"/>
        </w:rPr>
        <w:t xml:space="preserve"> ‘N’ </w:t>
      </w:r>
      <w:proofErr w:type="spellStart"/>
      <w:r w:rsidRPr="00A55719">
        <w:rPr>
          <w:rFonts w:ascii="Poppins" w:hAnsi="Poppins" w:cs="Poppins"/>
          <w:color w:val="000000" w:themeColor="text1"/>
          <w:sz w:val="22"/>
          <w:lang w:val="es-ES"/>
        </w:rPr>
        <w:t>Quality</w:t>
      </w:r>
      <w:proofErr w:type="spellEnd"/>
      <w:r w:rsidRPr="00A55719">
        <w:rPr>
          <w:rFonts w:ascii="Poppins" w:hAnsi="Poppins" w:cs="Poppins"/>
          <w:color w:val="000000" w:themeColor="text1"/>
          <w:sz w:val="22"/>
          <w:lang w:val="es-ES"/>
        </w:rPr>
        <w:t xml:space="preserve"> </w:t>
      </w:r>
      <w:proofErr w:type="spellStart"/>
      <w:r w:rsidRPr="00A55719">
        <w:rPr>
          <w:rFonts w:ascii="Poppins" w:hAnsi="Poppins" w:cs="Poppins"/>
          <w:color w:val="000000" w:themeColor="text1"/>
          <w:sz w:val="22"/>
          <w:lang w:val="es-ES"/>
        </w:rPr>
        <w:t>to</w:t>
      </w:r>
      <w:proofErr w:type="spellEnd"/>
      <w:r w:rsidRPr="00A55719">
        <w:rPr>
          <w:rFonts w:ascii="Poppins" w:hAnsi="Poppins" w:cs="Poppins"/>
          <w:color w:val="000000" w:themeColor="text1"/>
          <w:sz w:val="22"/>
          <w:lang w:val="es-ES"/>
        </w:rPr>
        <w:t xml:space="preserve"> Life”— en 2001, BenQ se ha comprometido a mejorar la vida de las personas mediante tecnologías innovadoras en los ámbitos del estilo de vida digital, los negocios, la atención sanitaria y la educación.</w:t>
      </w:r>
    </w:p>
    <w:p w14:paraId="2C963A52" w14:textId="6D7BF875" w:rsidR="00A55719" w:rsidRPr="00A55719" w:rsidRDefault="00A55719" w:rsidP="00A55719">
      <w:pPr>
        <w:rPr>
          <w:rFonts w:ascii="Poppins" w:hAnsi="Poppins" w:cs="Poppins"/>
          <w:color w:val="000000" w:themeColor="text1"/>
          <w:sz w:val="22"/>
          <w:lang w:val="es-ES"/>
        </w:rPr>
      </w:pPr>
      <w:r w:rsidRPr="00A55719">
        <w:rPr>
          <w:rFonts w:ascii="Poppins" w:hAnsi="Poppins" w:cs="Poppins"/>
          <w:color w:val="000000" w:themeColor="text1"/>
          <w:sz w:val="22"/>
          <w:lang w:val="es-ES"/>
        </w:rPr>
        <w:t xml:space="preserve">Con numerosos premios internacionales de diseño, BenQ aplica una filosofía de diseño centrada en las personas al desarrollo de sus productos. Su amplia gama incluye Pantallas de gran formato, monitores, proyectores, iluminación inteligente, Pantallas comerciales —interactivas y de señalización digital—, equipos profesionales para </w:t>
      </w:r>
      <w:proofErr w:type="spellStart"/>
      <w:r w:rsidRPr="00A55719">
        <w:rPr>
          <w:rFonts w:ascii="Poppins" w:hAnsi="Poppins" w:cs="Poppins"/>
          <w:color w:val="000000" w:themeColor="text1"/>
          <w:sz w:val="22"/>
          <w:lang w:val="es-ES"/>
        </w:rPr>
        <w:t>gaming</w:t>
      </w:r>
      <w:proofErr w:type="spellEnd"/>
      <w:r w:rsidRPr="00A55719">
        <w:rPr>
          <w:rFonts w:ascii="Poppins" w:hAnsi="Poppins" w:cs="Poppins"/>
          <w:color w:val="000000" w:themeColor="text1"/>
          <w:sz w:val="22"/>
          <w:lang w:val="es-ES"/>
        </w:rPr>
        <w:t xml:space="preserve"> y soluciones para el trabajo remoto.</w:t>
      </w:r>
    </w:p>
    <w:p w14:paraId="1A482CA4" w14:textId="77777777" w:rsidR="00A55719" w:rsidRPr="00A55719" w:rsidRDefault="00A55719" w:rsidP="00A55719">
      <w:pPr>
        <w:rPr>
          <w:rFonts w:ascii="Poppins" w:hAnsi="Poppins" w:cs="Poppins"/>
          <w:color w:val="000000" w:themeColor="text1"/>
          <w:sz w:val="22"/>
          <w:lang w:val="es-ES"/>
        </w:rPr>
      </w:pPr>
      <w:r w:rsidRPr="00A55719">
        <w:rPr>
          <w:rFonts w:ascii="Poppins" w:hAnsi="Poppins" w:cs="Poppins"/>
          <w:color w:val="000000" w:themeColor="text1"/>
          <w:sz w:val="22"/>
          <w:lang w:val="es-ES"/>
        </w:rPr>
        <w:t>BenQ cuenta con cinco oficinas regionales en Norteamérica, Europa, China, Asia-Pacífico y Latinoamérica. Con presencia en más de 26 países y una marca presente en más de 100 mercados, BenQ ofrece asistencia local profesional y ágil a usuarios de todo el mundo. Para obtener más información, visita: https://www.benq.com/</w:t>
      </w:r>
    </w:p>
    <w:p w14:paraId="5DE542AD" w14:textId="77777777" w:rsidR="00A55719" w:rsidRPr="00A55719" w:rsidRDefault="00A55719" w:rsidP="00A55719">
      <w:pPr>
        <w:rPr>
          <w:rFonts w:ascii="Poppins" w:hAnsi="Poppins" w:cs="Poppins"/>
          <w:b/>
          <w:bCs/>
          <w:color w:val="000000" w:themeColor="text1"/>
          <w:sz w:val="22"/>
          <w:lang w:val="es-ES"/>
        </w:rPr>
      </w:pPr>
      <w:r w:rsidRPr="00A55719">
        <w:rPr>
          <w:rFonts w:ascii="Poppins" w:hAnsi="Poppins" w:cs="Poppins"/>
          <w:b/>
          <w:bCs/>
          <w:color w:val="000000" w:themeColor="text1"/>
          <w:sz w:val="22"/>
          <w:lang w:val="es-ES"/>
        </w:rPr>
        <w:t> </w:t>
      </w:r>
    </w:p>
    <w:p w14:paraId="3F3BE268" w14:textId="6827784C" w:rsidR="00A55719" w:rsidRPr="00A55719" w:rsidRDefault="002178D0" w:rsidP="00A55719">
      <w:pPr>
        <w:rPr>
          <w:rFonts w:ascii="Poppins" w:hAnsi="Poppins" w:cs="Poppins"/>
          <w:b/>
          <w:bCs/>
          <w:color w:val="000000" w:themeColor="text1"/>
          <w:sz w:val="22"/>
          <w:lang w:val="es-ES"/>
        </w:rPr>
      </w:pPr>
      <w:proofErr w:type="spellStart"/>
      <w:r>
        <w:rPr>
          <w:rFonts w:ascii="Poppins" w:hAnsi="Poppins" w:cs="Poppins"/>
          <w:b/>
          <w:bCs/>
          <w:color w:val="000000" w:themeColor="text1"/>
          <w:sz w:val="22"/>
          <w:u w:val="single"/>
          <w:lang w:val="es-ES"/>
        </w:rPr>
        <w:t>Aerca</w:t>
      </w:r>
      <w:proofErr w:type="spellEnd"/>
      <w:r>
        <w:rPr>
          <w:rFonts w:ascii="Poppins" w:hAnsi="Poppins" w:cs="Poppins"/>
          <w:b/>
          <w:bCs/>
          <w:color w:val="000000" w:themeColor="text1"/>
          <w:sz w:val="22"/>
          <w:u w:val="single"/>
          <w:lang w:val="es-ES"/>
        </w:rPr>
        <w:t xml:space="preserve"> de </w:t>
      </w:r>
      <w:r w:rsidR="00A55719" w:rsidRPr="00A55719">
        <w:rPr>
          <w:rFonts w:ascii="Poppins" w:hAnsi="Poppins" w:cs="Poppins"/>
          <w:b/>
          <w:bCs/>
          <w:color w:val="000000" w:themeColor="text1"/>
          <w:sz w:val="22"/>
          <w:u w:val="single"/>
          <w:lang w:val="es-ES"/>
        </w:rPr>
        <w:t>BenQ Creative Pro</w:t>
      </w:r>
    </w:p>
    <w:p w14:paraId="30950A59" w14:textId="712BC9A7" w:rsidR="00A14C30" w:rsidRPr="00A11FF7" w:rsidRDefault="00A55719" w:rsidP="00A55719">
      <w:pPr>
        <w:rPr>
          <w:rFonts w:ascii="Poppins" w:hAnsi="Poppins" w:cs="Poppins"/>
          <w:color w:val="000000" w:themeColor="text1"/>
          <w:sz w:val="22"/>
          <w:lang w:val="es-ES"/>
        </w:rPr>
      </w:pPr>
      <w:r w:rsidRPr="002178D0">
        <w:rPr>
          <w:rFonts w:ascii="Poppins" w:hAnsi="Poppins" w:cs="Poppins"/>
          <w:color w:val="000000" w:themeColor="text1"/>
          <w:sz w:val="22"/>
          <w:lang w:val="es-ES"/>
        </w:rPr>
        <w:t>BenQ Creative Pro es la marca profesional de BenQ dedicada a ayudar a los creadores que necesitan un color preciso y fiable en cada etapa del flujo de trabajo. Gracias a la tecnología AQCOLOR, la uniformidad de esquina a esquina y la precisión calibrada en fábrica, BenQ Creative Pro ofrece un color de confianza para cada entrega, desde el concepto hasta la producción. Basado en la ciencia del color y validado por estándares del sector, el desarrollo de BenQ Creative Pro está dirigido por el reconocido experto mundial en color Dr. Chris Bai, cuyo trabajo con los estándares internacionales de Pantalla ICC e ISO refuerza el compromiso de BenQ con un color fiel a la intención original para fotógrafos, diseñadores gráficos y profesionales del vídeo.</w:t>
      </w:r>
    </w:p>
    <w:sectPr w:rsidR="00A14C30" w:rsidRPr="00A11FF7" w:rsidSect="00D56E18">
      <w:headerReference w:type="default" r:id="rId13"/>
      <w:footerReference w:type="default" r:id="rId14"/>
      <w:pgSz w:w="11906" w:h="16838"/>
      <w:pgMar w:top="1985" w:right="1133" w:bottom="1276" w:left="1440" w:header="851" w:footer="319"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AE9F0" w14:textId="77777777" w:rsidR="00580B6C" w:rsidRDefault="00580B6C" w:rsidP="00267DAB">
      <w:pPr>
        <w:spacing w:after="0" w:line="240" w:lineRule="auto"/>
      </w:pPr>
      <w:r>
        <w:separator/>
      </w:r>
    </w:p>
  </w:endnote>
  <w:endnote w:type="continuationSeparator" w:id="0">
    <w:p w14:paraId="6D21FA4A" w14:textId="77777777" w:rsidR="00580B6C" w:rsidRDefault="00580B6C" w:rsidP="00267DAB">
      <w:pPr>
        <w:spacing w:after="0" w:line="240" w:lineRule="auto"/>
      </w:pPr>
      <w:r>
        <w:continuationSeparator/>
      </w:r>
    </w:p>
  </w:endnote>
  <w:endnote w:type="continuationNotice" w:id="1">
    <w:p w14:paraId="4EE4A07C" w14:textId="77777777" w:rsidR="00580B6C" w:rsidRDefault="00580B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Poppins">
    <w:panose1 w:val="00000500000000000000"/>
    <w:charset w:val="00"/>
    <w:family w:val="auto"/>
    <w:pitch w:val="variable"/>
    <w:sig w:usb0="00008007" w:usb1="00000000" w:usb2="00000000" w:usb3="00000000" w:csb0="00000093"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B858E" w14:textId="000B65C3" w:rsidR="00AB0A2B" w:rsidRDefault="00EA777C" w:rsidP="00EA777C">
    <w:pPr>
      <w:pStyle w:val="Piedepgina"/>
      <w:spacing w:after="0" w:line="240" w:lineRule="auto"/>
      <w:jc w:val="center"/>
      <w:rPr>
        <w:szCs w:val="20"/>
        <w:lang w:val="pt-PT"/>
      </w:rPr>
    </w:pPr>
    <w:r>
      <w:rPr>
        <w:noProof/>
        <w:szCs w:val="20"/>
        <w:lang w:val="pt-PT"/>
      </w:rPr>
      <w:drawing>
        <wp:anchor distT="0" distB="0" distL="114300" distR="114300" simplePos="0" relativeHeight="251658240" behindDoc="0" locked="0" layoutInCell="1" allowOverlap="1" wp14:anchorId="5FC55C04" wp14:editId="06B2C0AC">
          <wp:simplePos x="0" y="0"/>
          <wp:positionH relativeFrom="column">
            <wp:posOffset>2564582</wp:posOffset>
          </wp:positionH>
          <wp:positionV relativeFrom="paragraph">
            <wp:posOffset>222745</wp:posOffset>
          </wp:positionV>
          <wp:extent cx="573405" cy="184785"/>
          <wp:effectExtent l="0" t="0" r="0" b="5715"/>
          <wp:wrapSquare wrapText="bothSides"/>
          <wp:docPr id="125749687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 cy="1847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B0A2B" w:rsidRPr="004A0401">
      <w:rPr>
        <w:szCs w:val="20"/>
        <w:lang w:val="pt-PT"/>
      </w:rPr>
      <w:t>Distribuidor oficial</w:t>
    </w:r>
  </w:p>
  <w:p w14:paraId="753757F0" w14:textId="77777777" w:rsidR="00EA777C" w:rsidRPr="00EA777C" w:rsidRDefault="00EA777C" w:rsidP="00EA777C">
    <w:pPr>
      <w:pStyle w:val="Piedepgina"/>
      <w:spacing w:after="0" w:line="240" w:lineRule="auto"/>
      <w:jc w:val="center"/>
      <w:rPr>
        <w:sz w:val="18"/>
        <w:szCs w:val="18"/>
        <w:lang w:val="pt-PT"/>
      </w:rPr>
    </w:pPr>
  </w:p>
  <w:p w14:paraId="0E0D4E6B" w14:textId="7A3FE399" w:rsidR="00723D90" w:rsidRPr="00AB0A2B" w:rsidRDefault="00AB0A2B" w:rsidP="00EA777C">
    <w:pPr>
      <w:pStyle w:val="Piedepgina"/>
      <w:spacing w:after="0" w:line="240" w:lineRule="auto"/>
      <w:jc w:val="center"/>
      <w:rPr>
        <w:szCs w:val="20"/>
        <w:lang w:val="pt-PT"/>
      </w:rPr>
    </w:pPr>
    <w:r w:rsidRPr="004A0401">
      <w:rPr>
        <w:szCs w:val="20"/>
        <w:lang w:val="pt-PT"/>
      </w:rPr>
      <w:t>Rodolfo Biber, S.A. · info@robisa.es · +34 91 7292 711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A69C2" w14:textId="77777777" w:rsidR="00580B6C" w:rsidRDefault="00580B6C" w:rsidP="00267DAB">
      <w:pPr>
        <w:spacing w:after="0" w:line="240" w:lineRule="auto"/>
      </w:pPr>
      <w:r>
        <w:separator/>
      </w:r>
    </w:p>
  </w:footnote>
  <w:footnote w:type="continuationSeparator" w:id="0">
    <w:p w14:paraId="734CE608" w14:textId="77777777" w:rsidR="00580B6C" w:rsidRDefault="00580B6C" w:rsidP="00267DAB">
      <w:pPr>
        <w:spacing w:after="0" w:line="240" w:lineRule="auto"/>
      </w:pPr>
      <w:r>
        <w:continuationSeparator/>
      </w:r>
    </w:p>
  </w:footnote>
  <w:footnote w:type="continuationNotice" w:id="1">
    <w:p w14:paraId="7022B620" w14:textId="77777777" w:rsidR="00580B6C" w:rsidRDefault="00580B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50ABA" w14:textId="76BD19B4" w:rsidR="001B12D6" w:rsidRDefault="00320060">
    <w:pPr>
      <w:pStyle w:val="Encabezado"/>
    </w:pPr>
    <w:r>
      <w:rPr>
        <w:noProof/>
      </w:rPr>
      <mc:AlternateContent>
        <mc:Choice Requires="wps">
          <w:drawing>
            <wp:anchor distT="45720" distB="45720" distL="114300" distR="114300" simplePos="0" relativeHeight="251658242" behindDoc="0" locked="0" layoutInCell="1" allowOverlap="1" wp14:anchorId="4F901350" wp14:editId="16F2B300">
              <wp:simplePos x="0" y="0"/>
              <wp:positionH relativeFrom="column">
                <wp:posOffset>-8255</wp:posOffset>
              </wp:positionH>
              <wp:positionV relativeFrom="paragraph">
                <wp:posOffset>86780</wp:posOffset>
              </wp:positionV>
              <wp:extent cx="1828800" cy="309880"/>
              <wp:effectExtent l="0" t="0" r="19050" b="1397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09880"/>
                      </a:xfrm>
                      <a:prstGeom prst="rect">
                        <a:avLst/>
                      </a:prstGeom>
                      <a:solidFill>
                        <a:srgbClr val="FFFFFF"/>
                      </a:solidFill>
                      <a:ln w="9525">
                        <a:solidFill>
                          <a:srgbClr val="000000"/>
                        </a:solidFill>
                        <a:miter lim="800000"/>
                        <a:headEnd/>
                        <a:tailEnd/>
                      </a:ln>
                    </wps:spPr>
                    <wps:txbx>
                      <w:txbxContent>
                        <w:p w14:paraId="6E901E8D" w14:textId="41E252E8" w:rsidR="00320060" w:rsidRPr="00E63B06" w:rsidRDefault="00320060" w:rsidP="00E63B06">
                          <w:pPr>
                            <w:jc w:val="center"/>
                          </w:pPr>
                          <w:r>
                            <w:t>COMUNICADO DE PRENSA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F901350" id="_x0000_t202" coordsize="21600,21600" o:spt="202" path="m,l,21600r21600,l21600,xe">
              <v:stroke joinstyle="miter"/>
              <v:path gradientshapeok="t" o:connecttype="rect"/>
            </v:shapetype>
            <v:shape id="Cuadro de texto 2" o:spid="_x0000_s1026" type="#_x0000_t202" style="position:absolute;left:0;text-align:left;margin-left:-.65pt;margin-top:6.85pt;width:2in;height:24.4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">
              <v:textbox>
                <w:txbxContent>
                  <w:p w14:paraId="6E901E8D" w14:textId="41E252E8" w:rsidR="00320060" w:rsidRPr="00E63B06" w:rsidRDefault="00320060" w:rsidP="00E63B06">
                    <w:pPr>
                      <w:jc w:val="center"/>
                    </w:pPr>
                    <w:r>
                      <w:t>COMUNICADO DE PRENSA</w:t>
                    </w:r>
                  </w:p>
                </w:txbxContent>
              </v:textbox>
              <w10:wrap type="square"/>
            </v:shape>
          </w:pict>
        </mc:Fallback>
      </mc:AlternateContent>
    </w:r>
    <w:r>
      <w:rPr>
        <w:rFonts w:ascii="Palatino Linotype" w:hAnsi="Palatino Linotype" w:cs="Arial"/>
        <w:noProof/>
        <w:color w:val="000000" w:themeColor="text1"/>
      </w:rPr>
      <w:drawing>
        <wp:anchor distT="0" distB="0" distL="114300" distR="114300" simplePos="0" relativeHeight="251658241" behindDoc="0" locked="0" layoutInCell="1" allowOverlap="1" wp14:anchorId="55CC0B3F" wp14:editId="2C71718C">
          <wp:simplePos x="0" y="0"/>
          <wp:positionH relativeFrom="column">
            <wp:posOffset>4471261</wp:posOffset>
          </wp:positionH>
          <wp:positionV relativeFrom="paragraph">
            <wp:posOffset>-160827</wp:posOffset>
          </wp:positionV>
          <wp:extent cx="1402080" cy="601901"/>
          <wp:effectExtent l="0" t="0" r="0" b="8255"/>
          <wp:wrapSquare wrapText="bothSides"/>
          <wp:docPr id="189586494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t="17542" b="17523"/>
                  <a:stretch/>
                </pic:blipFill>
                <pic:spPr bwMode="auto">
                  <a:xfrm>
                    <a:off x="0" y="0"/>
                    <a:ext cx="1402080" cy="60190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06FBC"/>
    <w:multiLevelType w:val="multilevel"/>
    <w:tmpl w:val="78D4C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13112B"/>
    <w:multiLevelType w:val="multilevel"/>
    <w:tmpl w:val="A57CE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C4787"/>
    <w:multiLevelType w:val="multilevel"/>
    <w:tmpl w:val="95EE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122D6A"/>
    <w:multiLevelType w:val="multilevel"/>
    <w:tmpl w:val="FF16B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1A65DD"/>
    <w:multiLevelType w:val="multilevel"/>
    <w:tmpl w:val="1344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DD1B6E"/>
    <w:multiLevelType w:val="multilevel"/>
    <w:tmpl w:val="DD769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E20FA9"/>
    <w:multiLevelType w:val="multilevel"/>
    <w:tmpl w:val="D90C5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A624AE"/>
    <w:multiLevelType w:val="multilevel"/>
    <w:tmpl w:val="D3FAB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B25381"/>
    <w:multiLevelType w:val="multilevel"/>
    <w:tmpl w:val="97B20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5F2765"/>
    <w:multiLevelType w:val="multilevel"/>
    <w:tmpl w:val="16507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A102FA"/>
    <w:multiLevelType w:val="hybridMultilevel"/>
    <w:tmpl w:val="F4ECC8F8"/>
    <w:lvl w:ilvl="0" w:tplc="519415B4">
      <w:start w:val="1"/>
      <w:numFmt w:val="bullet"/>
      <w:lvlText w:val="●"/>
      <w:lvlJc w:val="left"/>
      <w:pPr>
        <w:ind w:left="720" w:hanging="360"/>
      </w:pPr>
    </w:lvl>
    <w:lvl w:ilvl="1" w:tplc="204C826C">
      <w:start w:val="1"/>
      <w:numFmt w:val="bullet"/>
      <w:lvlText w:val="○"/>
      <w:lvlJc w:val="left"/>
      <w:pPr>
        <w:ind w:left="1440" w:hanging="360"/>
      </w:pPr>
    </w:lvl>
    <w:lvl w:ilvl="2" w:tplc="E70EC332">
      <w:start w:val="1"/>
      <w:numFmt w:val="bullet"/>
      <w:lvlText w:val="■"/>
      <w:lvlJc w:val="left"/>
      <w:pPr>
        <w:ind w:left="2160" w:hanging="360"/>
      </w:pPr>
    </w:lvl>
    <w:lvl w:ilvl="3" w:tplc="095EADBA">
      <w:start w:val="1"/>
      <w:numFmt w:val="bullet"/>
      <w:lvlText w:val="●"/>
      <w:lvlJc w:val="left"/>
      <w:pPr>
        <w:ind w:left="2880" w:hanging="360"/>
      </w:pPr>
    </w:lvl>
    <w:lvl w:ilvl="4" w:tplc="4956C082">
      <w:start w:val="1"/>
      <w:numFmt w:val="bullet"/>
      <w:lvlText w:val="○"/>
      <w:lvlJc w:val="left"/>
      <w:pPr>
        <w:ind w:left="3600" w:hanging="360"/>
      </w:pPr>
    </w:lvl>
    <w:lvl w:ilvl="5" w:tplc="B7CC9984">
      <w:start w:val="1"/>
      <w:numFmt w:val="bullet"/>
      <w:lvlText w:val="■"/>
      <w:lvlJc w:val="left"/>
      <w:pPr>
        <w:ind w:left="4320" w:hanging="360"/>
      </w:pPr>
    </w:lvl>
    <w:lvl w:ilvl="6" w:tplc="EE9EAE7C">
      <w:start w:val="1"/>
      <w:numFmt w:val="bullet"/>
      <w:lvlText w:val="●"/>
      <w:lvlJc w:val="left"/>
      <w:pPr>
        <w:ind w:left="5040" w:hanging="360"/>
      </w:pPr>
    </w:lvl>
    <w:lvl w:ilvl="7" w:tplc="3D728806">
      <w:start w:val="1"/>
      <w:numFmt w:val="bullet"/>
      <w:lvlText w:val="●"/>
      <w:lvlJc w:val="left"/>
      <w:pPr>
        <w:ind w:left="5760" w:hanging="360"/>
      </w:pPr>
    </w:lvl>
    <w:lvl w:ilvl="8" w:tplc="F2E852C4">
      <w:start w:val="1"/>
      <w:numFmt w:val="bullet"/>
      <w:lvlText w:val="●"/>
      <w:lvlJc w:val="left"/>
      <w:pPr>
        <w:ind w:left="6480" w:hanging="360"/>
      </w:pPr>
    </w:lvl>
  </w:abstractNum>
  <w:abstractNum w:abstractNumId="11" w15:restartNumberingAfterBreak="0">
    <w:nsid w:val="631D188F"/>
    <w:multiLevelType w:val="multilevel"/>
    <w:tmpl w:val="B338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75266D"/>
    <w:multiLevelType w:val="multilevel"/>
    <w:tmpl w:val="ACB40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B9128C"/>
    <w:multiLevelType w:val="hybridMultilevel"/>
    <w:tmpl w:val="20F24660"/>
    <w:lvl w:ilvl="0" w:tplc="51F461C0">
      <w:start w:val="1"/>
      <w:numFmt w:val="bullet"/>
      <w:lvlText w:val="●"/>
      <w:lvlJc w:val="left"/>
      <w:pPr>
        <w:ind w:left="720" w:hanging="360"/>
      </w:pPr>
    </w:lvl>
    <w:lvl w:ilvl="1" w:tplc="94F85FF8">
      <w:start w:val="1"/>
      <w:numFmt w:val="bullet"/>
      <w:lvlText w:val="○"/>
      <w:lvlJc w:val="left"/>
      <w:pPr>
        <w:ind w:left="1440" w:hanging="360"/>
      </w:pPr>
    </w:lvl>
    <w:lvl w:ilvl="2" w:tplc="21229880">
      <w:start w:val="1"/>
      <w:numFmt w:val="bullet"/>
      <w:lvlText w:val="■"/>
      <w:lvlJc w:val="left"/>
      <w:pPr>
        <w:ind w:left="2160" w:hanging="360"/>
      </w:pPr>
    </w:lvl>
    <w:lvl w:ilvl="3" w:tplc="D16E27E4">
      <w:start w:val="1"/>
      <w:numFmt w:val="bullet"/>
      <w:lvlText w:val="●"/>
      <w:lvlJc w:val="left"/>
      <w:pPr>
        <w:ind w:left="2880" w:hanging="360"/>
      </w:pPr>
    </w:lvl>
    <w:lvl w:ilvl="4" w:tplc="BA4C9440">
      <w:start w:val="1"/>
      <w:numFmt w:val="bullet"/>
      <w:lvlText w:val="○"/>
      <w:lvlJc w:val="left"/>
      <w:pPr>
        <w:ind w:left="3600" w:hanging="360"/>
      </w:pPr>
    </w:lvl>
    <w:lvl w:ilvl="5" w:tplc="02D02692">
      <w:start w:val="1"/>
      <w:numFmt w:val="bullet"/>
      <w:lvlText w:val="■"/>
      <w:lvlJc w:val="left"/>
      <w:pPr>
        <w:ind w:left="4320" w:hanging="360"/>
      </w:pPr>
    </w:lvl>
    <w:lvl w:ilvl="6" w:tplc="0A8AB8A2">
      <w:start w:val="1"/>
      <w:numFmt w:val="bullet"/>
      <w:lvlText w:val="●"/>
      <w:lvlJc w:val="left"/>
      <w:pPr>
        <w:ind w:left="5040" w:hanging="360"/>
      </w:pPr>
    </w:lvl>
    <w:lvl w:ilvl="7" w:tplc="D62AC570">
      <w:start w:val="1"/>
      <w:numFmt w:val="bullet"/>
      <w:lvlText w:val="●"/>
      <w:lvlJc w:val="left"/>
      <w:pPr>
        <w:ind w:left="5760" w:hanging="360"/>
      </w:pPr>
    </w:lvl>
    <w:lvl w:ilvl="8" w:tplc="101E9D8C">
      <w:start w:val="1"/>
      <w:numFmt w:val="bullet"/>
      <w:lvlText w:val="●"/>
      <w:lvlJc w:val="left"/>
      <w:pPr>
        <w:ind w:left="6480" w:hanging="360"/>
      </w:pPr>
    </w:lvl>
  </w:abstractNum>
  <w:num w:numId="1" w16cid:durableId="737827229">
    <w:abstractNumId w:val="0"/>
  </w:num>
  <w:num w:numId="2" w16cid:durableId="94593113">
    <w:abstractNumId w:val="4"/>
  </w:num>
  <w:num w:numId="3" w16cid:durableId="135295558">
    <w:abstractNumId w:val="1"/>
  </w:num>
  <w:num w:numId="4" w16cid:durableId="1705717919">
    <w:abstractNumId w:val="9"/>
  </w:num>
  <w:num w:numId="5" w16cid:durableId="1909802465">
    <w:abstractNumId w:val="12"/>
  </w:num>
  <w:num w:numId="6" w16cid:durableId="1113984358">
    <w:abstractNumId w:val="3"/>
  </w:num>
  <w:num w:numId="7" w16cid:durableId="1900627424">
    <w:abstractNumId w:val="8"/>
  </w:num>
  <w:num w:numId="8" w16cid:durableId="1868063938">
    <w:abstractNumId w:val="11"/>
  </w:num>
  <w:num w:numId="9" w16cid:durableId="1043482688">
    <w:abstractNumId w:val="5"/>
  </w:num>
  <w:num w:numId="10" w16cid:durableId="332805467">
    <w:abstractNumId w:val="2"/>
  </w:num>
  <w:num w:numId="11" w16cid:durableId="1567302973">
    <w:abstractNumId w:val="6"/>
  </w:num>
  <w:num w:numId="12" w16cid:durableId="807670044">
    <w:abstractNumId w:val="7"/>
  </w:num>
  <w:num w:numId="13" w16cid:durableId="573247022">
    <w:abstractNumId w:val="10"/>
  </w:num>
  <w:num w:numId="14" w16cid:durableId="18706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DAB"/>
    <w:rsid w:val="000002DF"/>
    <w:rsid w:val="00005623"/>
    <w:rsid w:val="00023079"/>
    <w:rsid w:val="0002726A"/>
    <w:rsid w:val="00035FD2"/>
    <w:rsid w:val="00040709"/>
    <w:rsid w:val="00052844"/>
    <w:rsid w:val="00060938"/>
    <w:rsid w:val="000630ED"/>
    <w:rsid w:val="000668B3"/>
    <w:rsid w:val="00071CC8"/>
    <w:rsid w:val="00085006"/>
    <w:rsid w:val="00096CBF"/>
    <w:rsid w:val="000A69E1"/>
    <w:rsid w:val="000B1609"/>
    <w:rsid w:val="000C11CA"/>
    <w:rsid w:val="000C47BB"/>
    <w:rsid w:val="000E4B3D"/>
    <w:rsid w:val="00105879"/>
    <w:rsid w:val="00140D8C"/>
    <w:rsid w:val="0014650D"/>
    <w:rsid w:val="0017266C"/>
    <w:rsid w:val="00184C94"/>
    <w:rsid w:val="00185234"/>
    <w:rsid w:val="00190E00"/>
    <w:rsid w:val="00194339"/>
    <w:rsid w:val="00195059"/>
    <w:rsid w:val="001A1CD0"/>
    <w:rsid w:val="001B03E0"/>
    <w:rsid w:val="001B12D6"/>
    <w:rsid w:val="001B4B89"/>
    <w:rsid w:val="001B5E63"/>
    <w:rsid w:val="001B7437"/>
    <w:rsid w:val="001C5C00"/>
    <w:rsid w:val="001D1B46"/>
    <w:rsid w:val="001D3758"/>
    <w:rsid w:val="001D5E10"/>
    <w:rsid w:val="001E0F8A"/>
    <w:rsid w:val="001F1C2B"/>
    <w:rsid w:val="001F3967"/>
    <w:rsid w:val="00212182"/>
    <w:rsid w:val="002178D0"/>
    <w:rsid w:val="002311AC"/>
    <w:rsid w:val="00236820"/>
    <w:rsid w:val="00254A24"/>
    <w:rsid w:val="00267DAB"/>
    <w:rsid w:val="00275C1C"/>
    <w:rsid w:val="00291AC7"/>
    <w:rsid w:val="00297D7A"/>
    <w:rsid w:val="002A1176"/>
    <w:rsid w:val="002A54F8"/>
    <w:rsid w:val="002B3A67"/>
    <w:rsid w:val="002C3711"/>
    <w:rsid w:val="002D1A82"/>
    <w:rsid w:val="002D2A51"/>
    <w:rsid w:val="002F769B"/>
    <w:rsid w:val="00320060"/>
    <w:rsid w:val="003230DE"/>
    <w:rsid w:val="00373AD6"/>
    <w:rsid w:val="00377B74"/>
    <w:rsid w:val="003846A3"/>
    <w:rsid w:val="0039329A"/>
    <w:rsid w:val="003C222A"/>
    <w:rsid w:val="003D75F9"/>
    <w:rsid w:val="00405BB8"/>
    <w:rsid w:val="00420CA6"/>
    <w:rsid w:val="00424997"/>
    <w:rsid w:val="00425277"/>
    <w:rsid w:val="00427D33"/>
    <w:rsid w:val="00462968"/>
    <w:rsid w:val="004742E3"/>
    <w:rsid w:val="00482BFA"/>
    <w:rsid w:val="00485192"/>
    <w:rsid w:val="00486ADD"/>
    <w:rsid w:val="004912F5"/>
    <w:rsid w:val="004D4ADD"/>
    <w:rsid w:val="004F2A1D"/>
    <w:rsid w:val="00507707"/>
    <w:rsid w:val="0051183B"/>
    <w:rsid w:val="00517911"/>
    <w:rsid w:val="00526C44"/>
    <w:rsid w:val="00532E7E"/>
    <w:rsid w:val="005435E2"/>
    <w:rsid w:val="00546611"/>
    <w:rsid w:val="00562088"/>
    <w:rsid w:val="00580B6C"/>
    <w:rsid w:val="005A2B69"/>
    <w:rsid w:val="005B649C"/>
    <w:rsid w:val="005C254E"/>
    <w:rsid w:val="005E0D7C"/>
    <w:rsid w:val="005F0D00"/>
    <w:rsid w:val="005F4FA5"/>
    <w:rsid w:val="005F6166"/>
    <w:rsid w:val="005F65CC"/>
    <w:rsid w:val="006055D7"/>
    <w:rsid w:val="00613F5A"/>
    <w:rsid w:val="0062138B"/>
    <w:rsid w:val="00673483"/>
    <w:rsid w:val="0067350C"/>
    <w:rsid w:val="00685D1E"/>
    <w:rsid w:val="006865D4"/>
    <w:rsid w:val="006955C6"/>
    <w:rsid w:val="00697EFB"/>
    <w:rsid w:val="006D41D8"/>
    <w:rsid w:val="006E2AAB"/>
    <w:rsid w:val="006E2B07"/>
    <w:rsid w:val="006F78E0"/>
    <w:rsid w:val="007035DB"/>
    <w:rsid w:val="0070471D"/>
    <w:rsid w:val="007124B9"/>
    <w:rsid w:val="00723D90"/>
    <w:rsid w:val="00724963"/>
    <w:rsid w:val="00736B7D"/>
    <w:rsid w:val="0074669A"/>
    <w:rsid w:val="00746E24"/>
    <w:rsid w:val="00751719"/>
    <w:rsid w:val="00761278"/>
    <w:rsid w:val="007632B1"/>
    <w:rsid w:val="007969FD"/>
    <w:rsid w:val="007A1CEB"/>
    <w:rsid w:val="007D5D06"/>
    <w:rsid w:val="007E1E99"/>
    <w:rsid w:val="007E5E88"/>
    <w:rsid w:val="007F4528"/>
    <w:rsid w:val="007F6619"/>
    <w:rsid w:val="0082016B"/>
    <w:rsid w:val="00846BAE"/>
    <w:rsid w:val="008526A4"/>
    <w:rsid w:val="00861251"/>
    <w:rsid w:val="00861F0C"/>
    <w:rsid w:val="0086765C"/>
    <w:rsid w:val="00867F1C"/>
    <w:rsid w:val="00876557"/>
    <w:rsid w:val="00881C7A"/>
    <w:rsid w:val="008A6382"/>
    <w:rsid w:val="008A7EEA"/>
    <w:rsid w:val="008C2A50"/>
    <w:rsid w:val="008E3CA2"/>
    <w:rsid w:val="008E42CD"/>
    <w:rsid w:val="008F55B8"/>
    <w:rsid w:val="00906CB2"/>
    <w:rsid w:val="00914C35"/>
    <w:rsid w:val="009224BA"/>
    <w:rsid w:val="009303C2"/>
    <w:rsid w:val="00932B12"/>
    <w:rsid w:val="00943711"/>
    <w:rsid w:val="00967CDF"/>
    <w:rsid w:val="00974D8D"/>
    <w:rsid w:val="00993875"/>
    <w:rsid w:val="009C0E6E"/>
    <w:rsid w:val="009D74EF"/>
    <w:rsid w:val="009D75EC"/>
    <w:rsid w:val="009D7878"/>
    <w:rsid w:val="009E274E"/>
    <w:rsid w:val="009E7B4C"/>
    <w:rsid w:val="00A03524"/>
    <w:rsid w:val="00A07394"/>
    <w:rsid w:val="00A11FF7"/>
    <w:rsid w:val="00A1246D"/>
    <w:rsid w:val="00A14B32"/>
    <w:rsid w:val="00A14C30"/>
    <w:rsid w:val="00A258FF"/>
    <w:rsid w:val="00A327FF"/>
    <w:rsid w:val="00A34BD0"/>
    <w:rsid w:val="00A45A85"/>
    <w:rsid w:val="00A53205"/>
    <w:rsid w:val="00A55719"/>
    <w:rsid w:val="00A55E6C"/>
    <w:rsid w:val="00A73E4F"/>
    <w:rsid w:val="00A879E7"/>
    <w:rsid w:val="00AA34C7"/>
    <w:rsid w:val="00AB0A2B"/>
    <w:rsid w:val="00AC6D27"/>
    <w:rsid w:val="00AD138F"/>
    <w:rsid w:val="00AD2BD3"/>
    <w:rsid w:val="00AD64B7"/>
    <w:rsid w:val="00AF2D1A"/>
    <w:rsid w:val="00AF67B6"/>
    <w:rsid w:val="00AF6866"/>
    <w:rsid w:val="00B07BC0"/>
    <w:rsid w:val="00B31F10"/>
    <w:rsid w:val="00B41632"/>
    <w:rsid w:val="00B4219F"/>
    <w:rsid w:val="00B46AF8"/>
    <w:rsid w:val="00B554CE"/>
    <w:rsid w:val="00B6696E"/>
    <w:rsid w:val="00B66EC2"/>
    <w:rsid w:val="00B7308D"/>
    <w:rsid w:val="00B82A13"/>
    <w:rsid w:val="00BA0E61"/>
    <w:rsid w:val="00BA27AE"/>
    <w:rsid w:val="00BE643A"/>
    <w:rsid w:val="00C0116A"/>
    <w:rsid w:val="00C04006"/>
    <w:rsid w:val="00C13CE5"/>
    <w:rsid w:val="00C52F5B"/>
    <w:rsid w:val="00C8407D"/>
    <w:rsid w:val="00C96DFF"/>
    <w:rsid w:val="00CA3779"/>
    <w:rsid w:val="00CC45C6"/>
    <w:rsid w:val="00CC6AF4"/>
    <w:rsid w:val="00CE15E9"/>
    <w:rsid w:val="00CE7B88"/>
    <w:rsid w:val="00CE7DE0"/>
    <w:rsid w:val="00CF7ADE"/>
    <w:rsid w:val="00D038F1"/>
    <w:rsid w:val="00D0636A"/>
    <w:rsid w:val="00D41409"/>
    <w:rsid w:val="00D53B08"/>
    <w:rsid w:val="00D56E18"/>
    <w:rsid w:val="00DA10A0"/>
    <w:rsid w:val="00DA7BFC"/>
    <w:rsid w:val="00DA7FBC"/>
    <w:rsid w:val="00DD5140"/>
    <w:rsid w:val="00DE089C"/>
    <w:rsid w:val="00DE5FED"/>
    <w:rsid w:val="00DE68E5"/>
    <w:rsid w:val="00DF2FA0"/>
    <w:rsid w:val="00DF5BAD"/>
    <w:rsid w:val="00DF6BE3"/>
    <w:rsid w:val="00E0341E"/>
    <w:rsid w:val="00E2070A"/>
    <w:rsid w:val="00E328B9"/>
    <w:rsid w:val="00E4202C"/>
    <w:rsid w:val="00E47D86"/>
    <w:rsid w:val="00E63B06"/>
    <w:rsid w:val="00E70E5A"/>
    <w:rsid w:val="00E71BAE"/>
    <w:rsid w:val="00E75522"/>
    <w:rsid w:val="00E75860"/>
    <w:rsid w:val="00E87493"/>
    <w:rsid w:val="00EA0A54"/>
    <w:rsid w:val="00EA7752"/>
    <w:rsid w:val="00EA777C"/>
    <w:rsid w:val="00EB2AAC"/>
    <w:rsid w:val="00EB52DB"/>
    <w:rsid w:val="00EC31C8"/>
    <w:rsid w:val="00EC49D2"/>
    <w:rsid w:val="00EC5D36"/>
    <w:rsid w:val="00EE6AE4"/>
    <w:rsid w:val="00EF38D0"/>
    <w:rsid w:val="00EF56ED"/>
    <w:rsid w:val="00F01262"/>
    <w:rsid w:val="00F12ABB"/>
    <w:rsid w:val="00F13C38"/>
    <w:rsid w:val="00F14137"/>
    <w:rsid w:val="00F179F7"/>
    <w:rsid w:val="00F21044"/>
    <w:rsid w:val="00F3124B"/>
    <w:rsid w:val="00F337A8"/>
    <w:rsid w:val="00F373A2"/>
    <w:rsid w:val="00F73F7F"/>
    <w:rsid w:val="00F8687C"/>
    <w:rsid w:val="00F87B63"/>
    <w:rsid w:val="00F96850"/>
    <w:rsid w:val="00F97D0B"/>
    <w:rsid w:val="00FC0495"/>
    <w:rsid w:val="00FC60D5"/>
    <w:rsid w:val="00FD0161"/>
    <w:rsid w:val="00FD1852"/>
    <w:rsid w:val="00FE11A0"/>
    <w:rsid w:val="00FE69FE"/>
    <w:rsid w:val="00FF0D1B"/>
    <w:rsid w:val="00FF35C6"/>
    <w:rsid w:val="00FF6670"/>
    <w:rsid w:val="00FF679D"/>
    <w:rsid w:val="0422D640"/>
    <w:rsid w:val="3F06FB95"/>
    <w:rsid w:val="5783CA27"/>
    <w:rsid w:val="6310257D"/>
    <w:rsid w:val="6899C2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50A55"/>
  <w15:chartTrackingRefBased/>
  <w15:docId w15:val="{D4D53915-274A-4BA2-BD36-109C81941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3C38"/>
    <w:pPr>
      <w:widowControl w:val="0"/>
      <w:wordWrap w:val="0"/>
      <w:autoSpaceDE w:val="0"/>
      <w:autoSpaceDN w:val="0"/>
    </w:pPr>
  </w:style>
  <w:style w:type="paragraph" w:styleId="Ttulo2">
    <w:name w:val="heading 2"/>
    <w:basedOn w:val="Normal"/>
    <w:next w:val="Normal"/>
    <w:link w:val="Ttulo2Car"/>
    <w:uiPriority w:val="9"/>
    <w:unhideWhenUsed/>
    <w:qFormat/>
    <w:rsid w:val="00035F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7E5E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link w:val="Ttulo4Car"/>
    <w:uiPriority w:val="9"/>
    <w:qFormat/>
    <w:rsid w:val="00486ADD"/>
    <w:pPr>
      <w:widowControl/>
      <w:wordWrap/>
      <w:autoSpaceDE/>
      <w:autoSpaceDN/>
      <w:spacing w:before="100" w:beforeAutospacing="1" w:after="100" w:afterAutospacing="1" w:line="240" w:lineRule="auto"/>
      <w:jc w:val="left"/>
      <w:outlineLvl w:val="3"/>
    </w:pPr>
    <w:rPr>
      <w:rFonts w:ascii="Gulim" w:eastAsia="Gulim" w:hAnsi="Gulim" w:cs="Gulim"/>
      <w:b/>
      <w:bCs/>
      <w:kern w:val="0"/>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67DAB"/>
    <w:pPr>
      <w:tabs>
        <w:tab w:val="center" w:pos="4513"/>
        <w:tab w:val="right" w:pos="9026"/>
      </w:tabs>
      <w:snapToGrid w:val="0"/>
    </w:pPr>
  </w:style>
  <w:style w:type="character" w:customStyle="1" w:styleId="EncabezadoCar">
    <w:name w:val="Encabezado Car"/>
    <w:basedOn w:val="Fuentedeprrafopredeter"/>
    <w:link w:val="Encabezado"/>
    <w:uiPriority w:val="99"/>
    <w:rsid w:val="00267DAB"/>
  </w:style>
  <w:style w:type="paragraph" w:styleId="Piedepgina">
    <w:name w:val="footer"/>
    <w:basedOn w:val="Normal"/>
    <w:link w:val="PiedepginaCar"/>
    <w:uiPriority w:val="99"/>
    <w:unhideWhenUsed/>
    <w:rsid w:val="00267DAB"/>
    <w:pPr>
      <w:tabs>
        <w:tab w:val="center" w:pos="4513"/>
        <w:tab w:val="right" w:pos="9026"/>
      </w:tabs>
      <w:snapToGrid w:val="0"/>
    </w:pPr>
  </w:style>
  <w:style w:type="character" w:customStyle="1" w:styleId="PiedepginaCar">
    <w:name w:val="Pie de página Car"/>
    <w:basedOn w:val="Fuentedeprrafopredeter"/>
    <w:link w:val="Piedepgina"/>
    <w:uiPriority w:val="99"/>
    <w:rsid w:val="00267DAB"/>
  </w:style>
  <w:style w:type="character" w:styleId="Hipervnculo">
    <w:name w:val="Hyperlink"/>
    <w:basedOn w:val="Fuentedeprrafopredeter"/>
    <w:uiPriority w:val="99"/>
    <w:unhideWhenUsed/>
    <w:rsid w:val="00EC31C8"/>
    <w:rPr>
      <w:color w:val="0563C1" w:themeColor="hyperlink"/>
      <w:u w:val="single"/>
    </w:rPr>
  </w:style>
  <w:style w:type="paragraph" w:styleId="Textodeglobo">
    <w:name w:val="Balloon Text"/>
    <w:basedOn w:val="Normal"/>
    <w:link w:val="TextodegloboCar"/>
    <w:uiPriority w:val="99"/>
    <w:semiHidden/>
    <w:unhideWhenUsed/>
    <w:rsid w:val="009C0E6E"/>
    <w:pPr>
      <w:spacing w:after="0" w:line="240" w:lineRule="auto"/>
    </w:pPr>
    <w:rPr>
      <w:rFonts w:asciiTheme="majorHAnsi" w:eastAsiaTheme="majorEastAsia" w:hAnsiTheme="majorHAnsi" w:cstheme="majorBidi"/>
      <w:sz w:val="18"/>
      <w:szCs w:val="18"/>
    </w:rPr>
  </w:style>
  <w:style w:type="character" w:customStyle="1" w:styleId="TextodegloboCar">
    <w:name w:val="Texto de globo Car"/>
    <w:basedOn w:val="Fuentedeprrafopredeter"/>
    <w:link w:val="Textodeglobo"/>
    <w:uiPriority w:val="99"/>
    <w:semiHidden/>
    <w:rsid w:val="009C0E6E"/>
    <w:rPr>
      <w:rFonts w:asciiTheme="majorHAnsi" w:eastAsiaTheme="majorEastAsia" w:hAnsiTheme="majorHAnsi" w:cstheme="majorBidi"/>
      <w:sz w:val="18"/>
      <w:szCs w:val="18"/>
    </w:rPr>
  </w:style>
  <w:style w:type="paragraph" w:styleId="NormalWeb">
    <w:name w:val="Normal (Web)"/>
    <w:basedOn w:val="Normal"/>
    <w:uiPriority w:val="99"/>
    <w:semiHidden/>
    <w:unhideWhenUsed/>
    <w:rsid w:val="000A69E1"/>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Ttulo4Car">
    <w:name w:val="Título 4 Car"/>
    <w:basedOn w:val="Fuentedeprrafopredeter"/>
    <w:link w:val="Ttulo4"/>
    <w:uiPriority w:val="9"/>
    <w:rsid w:val="00486ADD"/>
    <w:rPr>
      <w:rFonts w:ascii="Gulim" w:eastAsia="Gulim" w:hAnsi="Gulim" w:cs="Gulim"/>
      <w:b/>
      <w:bCs/>
      <w:kern w:val="0"/>
      <w:sz w:val="24"/>
      <w:szCs w:val="24"/>
    </w:rPr>
  </w:style>
  <w:style w:type="character" w:customStyle="1" w:styleId="Ttulo3Car">
    <w:name w:val="Título 3 Car"/>
    <w:basedOn w:val="Fuentedeprrafopredeter"/>
    <w:link w:val="Ttulo3"/>
    <w:uiPriority w:val="9"/>
    <w:rsid w:val="007E5E88"/>
    <w:rPr>
      <w:rFonts w:asciiTheme="majorHAnsi" w:eastAsiaTheme="majorEastAsia" w:hAnsiTheme="majorHAnsi" w:cstheme="majorBidi"/>
      <w:color w:val="1F4D78" w:themeColor="accent1" w:themeShade="7F"/>
      <w:sz w:val="24"/>
      <w:szCs w:val="24"/>
    </w:rPr>
  </w:style>
  <w:style w:type="character" w:customStyle="1" w:styleId="Ttulo2Car">
    <w:name w:val="Título 2 Car"/>
    <w:basedOn w:val="Fuentedeprrafopredeter"/>
    <w:link w:val="Ttulo2"/>
    <w:uiPriority w:val="9"/>
    <w:rsid w:val="00035FD2"/>
    <w:rPr>
      <w:rFonts w:asciiTheme="majorHAnsi" w:eastAsiaTheme="majorEastAsia" w:hAnsiTheme="majorHAnsi" w:cstheme="majorBidi"/>
      <w:color w:val="2E74B5" w:themeColor="accent1" w:themeShade="BF"/>
      <w:sz w:val="26"/>
      <w:szCs w:val="26"/>
    </w:rPr>
  </w:style>
  <w:style w:type="paragraph" w:styleId="Ttulo">
    <w:name w:val="Title"/>
    <w:basedOn w:val="Normal"/>
    <w:next w:val="Normal"/>
    <w:link w:val="TtuloCar"/>
    <w:uiPriority w:val="10"/>
    <w:qFormat/>
    <w:rsid w:val="00A45A8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45A85"/>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FF35C6"/>
    <w:rPr>
      <w:i/>
      <w:iCs/>
      <w:color w:val="404040" w:themeColor="text1" w:themeTint="BF"/>
    </w:rPr>
  </w:style>
  <w:style w:type="character" w:styleId="Mencinsinresolver">
    <w:name w:val="Unresolved Mention"/>
    <w:basedOn w:val="Fuentedeprrafopredeter"/>
    <w:uiPriority w:val="99"/>
    <w:semiHidden/>
    <w:unhideWhenUsed/>
    <w:rsid w:val="00F96850"/>
    <w:rPr>
      <w:color w:val="605E5C"/>
      <w:shd w:val="clear" w:color="auto" w:fill="E1DFDD"/>
    </w:rPr>
  </w:style>
  <w:style w:type="character" w:styleId="Hipervnculovisitado">
    <w:name w:val="FollowedHyperlink"/>
    <w:basedOn w:val="Fuentedeprrafopredeter"/>
    <w:uiPriority w:val="99"/>
    <w:semiHidden/>
    <w:unhideWhenUsed/>
    <w:rsid w:val="00B7308D"/>
    <w:rPr>
      <w:color w:val="954F72" w:themeColor="followedHyperlink"/>
      <w:u w:val="single"/>
    </w:rPr>
  </w:style>
  <w:style w:type="character" w:customStyle="1" w:styleId="text-18">
    <w:name w:val="text-18"/>
    <w:basedOn w:val="Fuentedeprrafopredeter"/>
    <w:rsid w:val="0067350C"/>
  </w:style>
  <w:style w:type="paragraph" w:styleId="Prrafodelista">
    <w:name w:val="List Paragraph"/>
    <w:basedOn w:val="Normal"/>
    <w:uiPriority w:val="34"/>
    <w:qFormat/>
    <w:rsid w:val="006735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0610">
      <w:bodyDiv w:val="1"/>
      <w:marLeft w:val="0"/>
      <w:marRight w:val="0"/>
      <w:marTop w:val="0"/>
      <w:marBottom w:val="0"/>
      <w:divBdr>
        <w:top w:val="none" w:sz="0" w:space="0" w:color="auto"/>
        <w:left w:val="none" w:sz="0" w:space="0" w:color="auto"/>
        <w:bottom w:val="none" w:sz="0" w:space="0" w:color="auto"/>
        <w:right w:val="none" w:sz="0" w:space="0" w:color="auto"/>
      </w:divBdr>
    </w:div>
    <w:div w:id="126700218">
      <w:bodyDiv w:val="1"/>
      <w:marLeft w:val="0"/>
      <w:marRight w:val="0"/>
      <w:marTop w:val="0"/>
      <w:marBottom w:val="0"/>
      <w:divBdr>
        <w:top w:val="none" w:sz="0" w:space="0" w:color="auto"/>
        <w:left w:val="none" w:sz="0" w:space="0" w:color="auto"/>
        <w:bottom w:val="none" w:sz="0" w:space="0" w:color="auto"/>
        <w:right w:val="none" w:sz="0" w:space="0" w:color="auto"/>
      </w:divBdr>
    </w:div>
    <w:div w:id="439187121">
      <w:bodyDiv w:val="1"/>
      <w:marLeft w:val="0"/>
      <w:marRight w:val="0"/>
      <w:marTop w:val="0"/>
      <w:marBottom w:val="0"/>
      <w:divBdr>
        <w:top w:val="none" w:sz="0" w:space="0" w:color="auto"/>
        <w:left w:val="none" w:sz="0" w:space="0" w:color="auto"/>
        <w:bottom w:val="none" w:sz="0" w:space="0" w:color="auto"/>
        <w:right w:val="none" w:sz="0" w:space="0" w:color="auto"/>
      </w:divBdr>
    </w:div>
    <w:div w:id="472452941">
      <w:bodyDiv w:val="1"/>
      <w:marLeft w:val="0"/>
      <w:marRight w:val="0"/>
      <w:marTop w:val="0"/>
      <w:marBottom w:val="0"/>
      <w:divBdr>
        <w:top w:val="none" w:sz="0" w:space="0" w:color="auto"/>
        <w:left w:val="none" w:sz="0" w:space="0" w:color="auto"/>
        <w:bottom w:val="none" w:sz="0" w:space="0" w:color="auto"/>
        <w:right w:val="none" w:sz="0" w:space="0" w:color="auto"/>
      </w:divBdr>
    </w:div>
    <w:div w:id="493884142">
      <w:bodyDiv w:val="1"/>
      <w:marLeft w:val="0"/>
      <w:marRight w:val="0"/>
      <w:marTop w:val="0"/>
      <w:marBottom w:val="0"/>
      <w:divBdr>
        <w:top w:val="none" w:sz="0" w:space="0" w:color="auto"/>
        <w:left w:val="none" w:sz="0" w:space="0" w:color="auto"/>
        <w:bottom w:val="none" w:sz="0" w:space="0" w:color="auto"/>
        <w:right w:val="none" w:sz="0" w:space="0" w:color="auto"/>
      </w:divBdr>
    </w:div>
    <w:div w:id="689378689">
      <w:bodyDiv w:val="1"/>
      <w:marLeft w:val="0"/>
      <w:marRight w:val="0"/>
      <w:marTop w:val="0"/>
      <w:marBottom w:val="0"/>
      <w:divBdr>
        <w:top w:val="none" w:sz="0" w:space="0" w:color="auto"/>
        <w:left w:val="none" w:sz="0" w:space="0" w:color="auto"/>
        <w:bottom w:val="none" w:sz="0" w:space="0" w:color="auto"/>
        <w:right w:val="none" w:sz="0" w:space="0" w:color="auto"/>
      </w:divBdr>
    </w:div>
    <w:div w:id="713307187">
      <w:bodyDiv w:val="1"/>
      <w:marLeft w:val="0"/>
      <w:marRight w:val="0"/>
      <w:marTop w:val="0"/>
      <w:marBottom w:val="0"/>
      <w:divBdr>
        <w:top w:val="none" w:sz="0" w:space="0" w:color="auto"/>
        <w:left w:val="none" w:sz="0" w:space="0" w:color="auto"/>
        <w:bottom w:val="none" w:sz="0" w:space="0" w:color="auto"/>
        <w:right w:val="none" w:sz="0" w:space="0" w:color="auto"/>
      </w:divBdr>
    </w:div>
    <w:div w:id="742140293">
      <w:bodyDiv w:val="1"/>
      <w:marLeft w:val="0"/>
      <w:marRight w:val="0"/>
      <w:marTop w:val="0"/>
      <w:marBottom w:val="0"/>
      <w:divBdr>
        <w:top w:val="none" w:sz="0" w:space="0" w:color="auto"/>
        <w:left w:val="none" w:sz="0" w:space="0" w:color="auto"/>
        <w:bottom w:val="none" w:sz="0" w:space="0" w:color="auto"/>
        <w:right w:val="none" w:sz="0" w:space="0" w:color="auto"/>
      </w:divBdr>
    </w:div>
    <w:div w:id="766921126">
      <w:bodyDiv w:val="1"/>
      <w:marLeft w:val="0"/>
      <w:marRight w:val="0"/>
      <w:marTop w:val="0"/>
      <w:marBottom w:val="0"/>
      <w:divBdr>
        <w:top w:val="none" w:sz="0" w:space="0" w:color="auto"/>
        <w:left w:val="none" w:sz="0" w:space="0" w:color="auto"/>
        <w:bottom w:val="none" w:sz="0" w:space="0" w:color="auto"/>
        <w:right w:val="none" w:sz="0" w:space="0" w:color="auto"/>
      </w:divBdr>
    </w:div>
    <w:div w:id="847865050">
      <w:bodyDiv w:val="1"/>
      <w:marLeft w:val="0"/>
      <w:marRight w:val="0"/>
      <w:marTop w:val="0"/>
      <w:marBottom w:val="0"/>
      <w:divBdr>
        <w:top w:val="none" w:sz="0" w:space="0" w:color="auto"/>
        <w:left w:val="none" w:sz="0" w:space="0" w:color="auto"/>
        <w:bottom w:val="none" w:sz="0" w:space="0" w:color="auto"/>
        <w:right w:val="none" w:sz="0" w:space="0" w:color="auto"/>
      </w:divBdr>
    </w:div>
    <w:div w:id="874122888">
      <w:bodyDiv w:val="1"/>
      <w:marLeft w:val="0"/>
      <w:marRight w:val="0"/>
      <w:marTop w:val="0"/>
      <w:marBottom w:val="0"/>
      <w:divBdr>
        <w:top w:val="none" w:sz="0" w:space="0" w:color="auto"/>
        <w:left w:val="none" w:sz="0" w:space="0" w:color="auto"/>
        <w:bottom w:val="none" w:sz="0" w:space="0" w:color="auto"/>
        <w:right w:val="none" w:sz="0" w:space="0" w:color="auto"/>
      </w:divBdr>
    </w:div>
    <w:div w:id="882331613">
      <w:bodyDiv w:val="1"/>
      <w:marLeft w:val="0"/>
      <w:marRight w:val="0"/>
      <w:marTop w:val="0"/>
      <w:marBottom w:val="0"/>
      <w:divBdr>
        <w:top w:val="none" w:sz="0" w:space="0" w:color="auto"/>
        <w:left w:val="none" w:sz="0" w:space="0" w:color="auto"/>
        <w:bottom w:val="none" w:sz="0" w:space="0" w:color="auto"/>
        <w:right w:val="none" w:sz="0" w:space="0" w:color="auto"/>
      </w:divBdr>
    </w:div>
    <w:div w:id="919407388">
      <w:bodyDiv w:val="1"/>
      <w:marLeft w:val="0"/>
      <w:marRight w:val="0"/>
      <w:marTop w:val="0"/>
      <w:marBottom w:val="0"/>
      <w:divBdr>
        <w:top w:val="none" w:sz="0" w:space="0" w:color="auto"/>
        <w:left w:val="none" w:sz="0" w:space="0" w:color="auto"/>
        <w:bottom w:val="none" w:sz="0" w:space="0" w:color="auto"/>
        <w:right w:val="none" w:sz="0" w:space="0" w:color="auto"/>
      </w:divBdr>
    </w:div>
    <w:div w:id="942876787">
      <w:bodyDiv w:val="1"/>
      <w:marLeft w:val="0"/>
      <w:marRight w:val="0"/>
      <w:marTop w:val="0"/>
      <w:marBottom w:val="0"/>
      <w:divBdr>
        <w:top w:val="none" w:sz="0" w:space="0" w:color="auto"/>
        <w:left w:val="none" w:sz="0" w:space="0" w:color="auto"/>
        <w:bottom w:val="none" w:sz="0" w:space="0" w:color="auto"/>
        <w:right w:val="none" w:sz="0" w:space="0" w:color="auto"/>
      </w:divBdr>
    </w:div>
    <w:div w:id="1026441741">
      <w:bodyDiv w:val="1"/>
      <w:marLeft w:val="0"/>
      <w:marRight w:val="0"/>
      <w:marTop w:val="0"/>
      <w:marBottom w:val="0"/>
      <w:divBdr>
        <w:top w:val="none" w:sz="0" w:space="0" w:color="auto"/>
        <w:left w:val="none" w:sz="0" w:space="0" w:color="auto"/>
        <w:bottom w:val="none" w:sz="0" w:space="0" w:color="auto"/>
        <w:right w:val="none" w:sz="0" w:space="0" w:color="auto"/>
      </w:divBdr>
    </w:div>
    <w:div w:id="1320232868">
      <w:bodyDiv w:val="1"/>
      <w:marLeft w:val="0"/>
      <w:marRight w:val="0"/>
      <w:marTop w:val="0"/>
      <w:marBottom w:val="0"/>
      <w:divBdr>
        <w:top w:val="none" w:sz="0" w:space="0" w:color="auto"/>
        <w:left w:val="none" w:sz="0" w:space="0" w:color="auto"/>
        <w:bottom w:val="none" w:sz="0" w:space="0" w:color="auto"/>
        <w:right w:val="none" w:sz="0" w:space="0" w:color="auto"/>
      </w:divBdr>
    </w:div>
    <w:div w:id="1372732447">
      <w:bodyDiv w:val="1"/>
      <w:marLeft w:val="0"/>
      <w:marRight w:val="0"/>
      <w:marTop w:val="0"/>
      <w:marBottom w:val="0"/>
      <w:divBdr>
        <w:top w:val="none" w:sz="0" w:space="0" w:color="auto"/>
        <w:left w:val="none" w:sz="0" w:space="0" w:color="auto"/>
        <w:bottom w:val="none" w:sz="0" w:space="0" w:color="auto"/>
        <w:right w:val="none" w:sz="0" w:space="0" w:color="auto"/>
      </w:divBdr>
    </w:div>
    <w:div w:id="1417896343">
      <w:bodyDiv w:val="1"/>
      <w:marLeft w:val="0"/>
      <w:marRight w:val="0"/>
      <w:marTop w:val="0"/>
      <w:marBottom w:val="0"/>
      <w:divBdr>
        <w:top w:val="none" w:sz="0" w:space="0" w:color="auto"/>
        <w:left w:val="none" w:sz="0" w:space="0" w:color="auto"/>
        <w:bottom w:val="none" w:sz="0" w:space="0" w:color="auto"/>
        <w:right w:val="none" w:sz="0" w:space="0" w:color="auto"/>
      </w:divBdr>
    </w:div>
    <w:div w:id="1434979982">
      <w:bodyDiv w:val="1"/>
      <w:marLeft w:val="0"/>
      <w:marRight w:val="0"/>
      <w:marTop w:val="0"/>
      <w:marBottom w:val="0"/>
      <w:divBdr>
        <w:top w:val="none" w:sz="0" w:space="0" w:color="auto"/>
        <w:left w:val="none" w:sz="0" w:space="0" w:color="auto"/>
        <w:bottom w:val="none" w:sz="0" w:space="0" w:color="auto"/>
        <w:right w:val="none" w:sz="0" w:space="0" w:color="auto"/>
      </w:divBdr>
    </w:div>
    <w:div w:id="1455254334">
      <w:bodyDiv w:val="1"/>
      <w:marLeft w:val="0"/>
      <w:marRight w:val="0"/>
      <w:marTop w:val="0"/>
      <w:marBottom w:val="0"/>
      <w:divBdr>
        <w:top w:val="none" w:sz="0" w:space="0" w:color="auto"/>
        <w:left w:val="none" w:sz="0" w:space="0" w:color="auto"/>
        <w:bottom w:val="none" w:sz="0" w:space="0" w:color="auto"/>
        <w:right w:val="none" w:sz="0" w:space="0" w:color="auto"/>
      </w:divBdr>
    </w:div>
    <w:div w:id="1550915072">
      <w:bodyDiv w:val="1"/>
      <w:marLeft w:val="0"/>
      <w:marRight w:val="0"/>
      <w:marTop w:val="0"/>
      <w:marBottom w:val="0"/>
      <w:divBdr>
        <w:top w:val="none" w:sz="0" w:space="0" w:color="auto"/>
        <w:left w:val="none" w:sz="0" w:space="0" w:color="auto"/>
        <w:bottom w:val="none" w:sz="0" w:space="0" w:color="auto"/>
        <w:right w:val="none" w:sz="0" w:space="0" w:color="auto"/>
      </w:divBdr>
    </w:div>
    <w:div w:id="1586454413">
      <w:bodyDiv w:val="1"/>
      <w:marLeft w:val="0"/>
      <w:marRight w:val="0"/>
      <w:marTop w:val="0"/>
      <w:marBottom w:val="0"/>
      <w:divBdr>
        <w:top w:val="none" w:sz="0" w:space="0" w:color="auto"/>
        <w:left w:val="none" w:sz="0" w:space="0" w:color="auto"/>
        <w:bottom w:val="none" w:sz="0" w:space="0" w:color="auto"/>
        <w:right w:val="none" w:sz="0" w:space="0" w:color="auto"/>
      </w:divBdr>
    </w:div>
    <w:div w:id="1702777433">
      <w:bodyDiv w:val="1"/>
      <w:marLeft w:val="0"/>
      <w:marRight w:val="0"/>
      <w:marTop w:val="0"/>
      <w:marBottom w:val="0"/>
      <w:divBdr>
        <w:top w:val="none" w:sz="0" w:space="0" w:color="auto"/>
        <w:left w:val="none" w:sz="0" w:space="0" w:color="auto"/>
        <w:bottom w:val="none" w:sz="0" w:space="0" w:color="auto"/>
        <w:right w:val="none" w:sz="0" w:space="0" w:color="auto"/>
      </w:divBdr>
    </w:div>
    <w:div w:id="1821338533">
      <w:bodyDiv w:val="1"/>
      <w:marLeft w:val="0"/>
      <w:marRight w:val="0"/>
      <w:marTop w:val="0"/>
      <w:marBottom w:val="0"/>
      <w:divBdr>
        <w:top w:val="none" w:sz="0" w:space="0" w:color="auto"/>
        <w:left w:val="none" w:sz="0" w:space="0" w:color="auto"/>
        <w:bottom w:val="none" w:sz="0" w:space="0" w:color="auto"/>
        <w:right w:val="none" w:sz="0" w:space="0" w:color="auto"/>
      </w:divBdr>
    </w:div>
    <w:div w:id="1928688088">
      <w:bodyDiv w:val="1"/>
      <w:marLeft w:val="0"/>
      <w:marRight w:val="0"/>
      <w:marTop w:val="0"/>
      <w:marBottom w:val="0"/>
      <w:divBdr>
        <w:top w:val="none" w:sz="0" w:space="0" w:color="auto"/>
        <w:left w:val="none" w:sz="0" w:space="0" w:color="auto"/>
        <w:bottom w:val="none" w:sz="0" w:space="0" w:color="auto"/>
        <w:right w:val="none" w:sz="0" w:space="0" w:color="auto"/>
      </w:divBdr>
    </w:div>
    <w:div w:id="1996033908">
      <w:bodyDiv w:val="1"/>
      <w:marLeft w:val="0"/>
      <w:marRight w:val="0"/>
      <w:marTop w:val="0"/>
      <w:marBottom w:val="0"/>
      <w:divBdr>
        <w:top w:val="none" w:sz="0" w:space="0" w:color="auto"/>
        <w:left w:val="none" w:sz="0" w:space="0" w:color="auto"/>
        <w:bottom w:val="none" w:sz="0" w:space="0" w:color="auto"/>
        <w:right w:val="none" w:sz="0" w:space="0" w:color="auto"/>
      </w:divBdr>
    </w:div>
    <w:div w:id="2004893330">
      <w:bodyDiv w:val="1"/>
      <w:marLeft w:val="0"/>
      <w:marRight w:val="0"/>
      <w:marTop w:val="0"/>
      <w:marBottom w:val="0"/>
      <w:divBdr>
        <w:top w:val="none" w:sz="0" w:space="0" w:color="auto"/>
        <w:left w:val="none" w:sz="0" w:space="0" w:color="auto"/>
        <w:bottom w:val="none" w:sz="0" w:space="0" w:color="auto"/>
        <w:right w:val="none" w:sz="0" w:space="0" w:color="auto"/>
      </w:divBdr>
    </w:div>
    <w:div w:id="2126191296">
      <w:bodyDiv w:val="1"/>
      <w:marLeft w:val="0"/>
      <w:marRight w:val="0"/>
      <w:marTop w:val="0"/>
      <w:marBottom w:val="0"/>
      <w:divBdr>
        <w:top w:val="none" w:sz="0" w:space="0" w:color="auto"/>
        <w:left w:val="none" w:sz="0" w:space="0" w:color="auto"/>
        <w:bottom w:val="none" w:sz="0" w:space="0" w:color="auto"/>
        <w:right w:val="none" w:sz="0" w:space="0" w:color="auto"/>
      </w:divBdr>
    </w:div>
    <w:div w:id="2137596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obisa.es/contacto/"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benq.com/es-es/monitor/creative-pro.html?__hstc=37921852.b4d5806c4d473849762670dc9129df99.1783316922733.1785223425682.1785234475527.8&amp;__hssc=37921852.1.1785234475527&amp;__hsfp=318893a8906d6dcef135f96d673a9d34"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b62a-f97d-4e27-8a79-b2c30228b78d">
      <Terms xmlns="http://schemas.microsoft.com/office/infopath/2007/PartnerControls"/>
    </lcf76f155ced4ddcb4097134ff3c332f>
    <i07687df2e2740ee8e2dfcf0c76d8e72 xmlns="d799b62a-f97d-4e27-8a79-b2c30228b78d">
      <Terms xmlns="http://schemas.microsoft.com/office/infopath/2007/PartnerControls"/>
    </i07687df2e2740ee8e2dfcf0c76d8e72>
    <TaxCatchAll xmlns="877e4dda-f991-41a3-84db-35a976faa0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40F9E4686AAB4F8179A0674F8D61F5" ma:contentTypeVersion="21" ma:contentTypeDescription="Create a new document." ma:contentTypeScope="" ma:versionID="8624c1e4f9ef38b2b493ac77d1d2453b">
  <xsd:schema xmlns:xsd="http://www.w3.org/2001/XMLSchema" xmlns:xs="http://www.w3.org/2001/XMLSchema" xmlns:p="http://schemas.microsoft.com/office/2006/metadata/properties" xmlns:ns2="d799b62a-f97d-4e27-8a79-b2c30228b78d" xmlns:ns3="877e4dda-f991-41a3-84db-35a976faa0ec" targetNamespace="http://schemas.microsoft.com/office/2006/metadata/properties" ma:root="true" ma:fieldsID="ab148b39eedb0d653745d52326979de7" ns2:_="" ns3:_="">
    <xsd:import namespace="d799b62a-f97d-4e27-8a79-b2c30228b78d"/>
    <xsd:import namespace="877e4dda-f991-41a3-84db-35a976faa0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i07687df2e2740ee8e2dfcf0c76d8e72" minOccurs="0"/>
                <xsd:element ref="ns3:TaxCatchAll"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b62a-f97d-4e27-8a79-b2c30228b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i07687df2e2740ee8e2dfcf0c76d8e72" ma:index="22" nillable="true" ma:taxonomy="true" ma:internalName="i07687df2e2740ee8e2dfcf0c76d8e72" ma:taxonomyFieldName="Peso_x0020_archivo" ma:displayName="Peso archivo" ma:fieldId="{207687df-2e27-40ee-8e2d-fcf0c76d8e72}"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51a795c-52f1-48ed-bb64-e1ccb2f5122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7e4dda-f991-41a3-84db-35a976faa0e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ac94cf2-18e6-4cf2-9f86-44ec96301953}" ma:internalName="TaxCatchAll" ma:showField="CatchAllData" ma:web="877e4dda-f991-41a3-84db-35a976faa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B9164-2B6D-45EA-BE54-2656A7C84DF8}">
  <ds:schemaRefs>
    <ds:schemaRef ds:uri="http://schemas.microsoft.com/sharepoint/v3/contenttype/forms"/>
  </ds:schemaRefs>
</ds:datastoreItem>
</file>

<file path=customXml/itemProps2.xml><?xml version="1.0" encoding="utf-8"?>
<ds:datastoreItem xmlns:ds="http://schemas.openxmlformats.org/officeDocument/2006/customXml" ds:itemID="{E25424C7-BBB5-403E-8E3E-EF27FB42F9AB}">
  <ds:schemaRefs>
    <ds:schemaRef ds:uri="http://schemas.microsoft.com/office/2006/metadata/properties"/>
    <ds:schemaRef ds:uri="http://schemas.microsoft.com/office/infopath/2007/PartnerControls"/>
    <ds:schemaRef ds:uri="d799b62a-f97d-4e27-8a79-b2c30228b78d"/>
    <ds:schemaRef ds:uri="877e4dda-f991-41a3-84db-35a976faa0ec"/>
  </ds:schemaRefs>
</ds:datastoreItem>
</file>

<file path=customXml/itemProps3.xml><?xml version="1.0" encoding="utf-8"?>
<ds:datastoreItem xmlns:ds="http://schemas.openxmlformats.org/officeDocument/2006/customXml" ds:itemID="{D4008CC7-E310-472C-AC4D-1C121A5F2753}"/>
</file>

<file path=customXml/itemProps4.xml><?xml version="1.0" encoding="utf-8"?>
<ds:datastoreItem xmlns:ds="http://schemas.openxmlformats.org/officeDocument/2006/customXml" ds:itemID="{8ACA2438-64B9-481D-9431-D0277A639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4</Pages>
  <Words>1242</Words>
  <Characters>6912</Characters>
  <Application>Microsoft Office Word</Application>
  <DocSecurity>0</DocSecurity>
  <Lines>197</Lines>
  <Paragraphs>101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JoMinHee</dc:creator>
  <cp:keywords/>
  <dc:description/>
  <cp:lastModifiedBy>Marketing</cp:lastModifiedBy>
  <cp:revision>71</cp:revision>
  <cp:lastPrinted>2023-08-29T14:18:00Z</cp:lastPrinted>
  <dcterms:created xsi:type="dcterms:W3CDTF">2025-05-30T07:52:00Z</dcterms:created>
  <dcterms:modified xsi:type="dcterms:W3CDTF">2026-07-28T10:54:00Z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898df390-2c04-43df-a68a-c0dbd4f9e770</vt:lpwstr>
  </property>
  <property fmtid="{D5CDD505-2E9C-101B-9397-08002B2CF9AE}" pid="3" name="ContentTypeId">
    <vt:lpwstr>0x010100BE40F9E4686AAB4F8179A0674F8D61F5</vt:lpwstr>
  </property>
  <property fmtid="{D5CDD505-2E9C-101B-9397-08002B2CF9AE}" pid="4" name="MediaServiceImageTags">
    <vt:lpwstr/>
  </property>
  <property fmtid="{D5CDD505-2E9C-101B-9397-08002B2CF9AE}" pid="5" name="Peso archivo">
    <vt:lpwstr/>
  </property>
  <property fmtid="{D5CDD505-2E9C-101B-9397-08002B2CF9AE}" pid="6" name="Peso_x0020_archivo">
    <vt:lpwstr/>
  </property>
</Properties>
</file>