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5439A" w14:textId="018D21C0" w:rsidR="00CF7ADE" w:rsidRDefault="00093075" w:rsidP="00E634E8">
      <w:pPr>
        <w:pStyle w:val="Ttulo1"/>
        <w:jc w:val="center"/>
        <w:rPr>
          <w:lang w:val="es-ES"/>
        </w:rPr>
      </w:pPr>
      <w:r w:rsidRPr="00093075">
        <w:rPr>
          <w:lang w:val="es-ES"/>
        </w:rPr>
        <w:t>BenQ Creative Pro presenta la serie PV50: monitores diseñados para flujos de trabajo de posproducción</w:t>
      </w:r>
    </w:p>
    <w:p w14:paraId="42EDDBE5" w14:textId="6054DF4B" w:rsidR="00CF7ADE" w:rsidRDefault="00E634E8" w:rsidP="00E634E8">
      <w:pPr>
        <w:pStyle w:val="Subttulo"/>
        <w:jc w:val="center"/>
        <w:rPr>
          <w:lang w:val="es-ES"/>
        </w:rPr>
      </w:pPr>
      <w:r w:rsidRPr="00E634E8">
        <w:rPr>
          <w:lang w:val="es-ES"/>
        </w:rPr>
        <w:t>Presentamos los monitores profesionales PV3250U 4K de 32 pulgadas y PV2750U 4K de 27 pulgadas, diseñados para ofrecer una precisión de color excepcional y optimizados para flujos de trabajo de posproducción</w:t>
      </w:r>
    </w:p>
    <w:p w14:paraId="3765D747" w14:textId="77777777" w:rsidR="00E634E8" w:rsidRPr="00E634E8" w:rsidRDefault="00E634E8" w:rsidP="00E634E8">
      <w:pPr>
        <w:rPr>
          <w:lang w:val="es-ES"/>
        </w:rPr>
      </w:pPr>
    </w:p>
    <w:p w14:paraId="38097931" w14:textId="7EE659CA" w:rsidR="00F96850" w:rsidRDefault="00FF35C6" w:rsidP="00005623">
      <w:pPr>
        <w:jc w:val="right"/>
        <w:rPr>
          <w:rFonts w:ascii="Poppins" w:hAnsi="Poppins" w:cs="Poppins"/>
          <w:sz w:val="22"/>
          <w:lang w:val="es-ES"/>
        </w:rPr>
      </w:pPr>
      <w:r w:rsidRPr="00AD138F">
        <w:rPr>
          <w:rFonts w:ascii="Poppins" w:hAnsi="Poppins" w:cs="Poppins"/>
          <w:sz w:val="22"/>
          <w:lang w:val="es-ES"/>
        </w:rPr>
        <w:t xml:space="preserve">Madrid, a </w:t>
      </w:r>
      <w:r w:rsidR="00E634E8">
        <w:rPr>
          <w:rFonts w:ascii="Poppins" w:hAnsi="Poppins" w:cs="Poppins"/>
          <w:sz w:val="22"/>
          <w:lang w:val="es-ES"/>
        </w:rPr>
        <w:t>01</w:t>
      </w:r>
      <w:r w:rsidRPr="00AD138F">
        <w:rPr>
          <w:rFonts w:ascii="Poppins" w:hAnsi="Poppins" w:cs="Poppins"/>
          <w:sz w:val="22"/>
          <w:lang w:val="es-ES"/>
        </w:rPr>
        <w:t xml:space="preserve"> de </w:t>
      </w:r>
      <w:r w:rsidR="00E634E8">
        <w:rPr>
          <w:rFonts w:ascii="Poppins" w:hAnsi="Poppins" w:cs="Poppins"/>
          <w:sz w:val="22"/>
          <w:lang w:val="es-ES"/>
        </w:rPr>
        <w:t>septiembre</w:t>
      </w:r>
      <w:r w:rsidRPr="00AD138F">
        <w:rPr>
          <w:rFonts w:ascii="Poppins" w:hAnsi="Poppins" w:cs="Poppins"/>
          <w:sz w:val="22"/>
          <w:lang w:val="es-ES"/>
        </w:rPr>
        <w:t xml:space="preserve"> de 2026</w:t>
      </w:r>
    </w:p>
    <w:p w14:paraId="391706C8" w14:textId="77777777" w:rsidR="00005623" w:rsidRPr="00640BCA" w:rsidRDefault="00005623" w:rsidP="00005623">
      <w:pPr>
        <w:jc w:val="right"/>
        <w:rPr>
          <w:rFonts w:ascii="Poppins" w:hAnsi="Poppins" w:cs="Poppins"/>
          <w:sz w:val="22"/>
          <w:lang w:val="es-ES"/>
        </w:rPr>
      </w:pPr>
    </w:p>
    <w:p w14:paraId="440A29EE" w14:textId="45BBE3C5" w:rsidR="00F97D0B" w:rsidRPr="00640BCA" w:rsidRDefault="002557CC" w:rsidP="0017266C">
      <w:pPr>
        <w:widowControl/>
        <w:wordWrap/>
        <w:autoSpaceDE/>
        <w:autoSpaceDN/>
        <w:spacing w:line="300" w:lineRule="auto"/>
        <w:rPr>
          <w:rFonts w:ascii="Poppins" w:eastAsia="Times New Roman" w:hAnsi="Poppins" w:cs="Poppins"/>
          <w:kern w:val="0"/>
          <w:sz w:val="22"/>
          <w:lang w:val="es-ES" w:eastAsia="es-ES"/>
        </w:rPr>
      </w:pPr>
      <w:r w:rsidRPr="00640BCA">
        <w:rPr>
          <w:rFonts w:ascii="Poppins" w:eastAsia="Times New Roman" w:hAnsi="Poppins" w:cs="Poppins"/>
          <w:kern w:val="0"/>
          <w:sz w:val="22"/>
          <w:lang w:val="es-ES" w:eastAsia="es-ES"/>
        </w:rPr>
        <w:t>BenQ, proveedor reconocido internacionalmente de soluciones profesionales de visualización, ha anunciado hoy la disponibilidad de sus nuevos monitores profesionales Creative Pro de la serie PV50, que incluye el PV3250U 4K de 32 pulgadas y el PV2750U de 27 pulgadas. Diseñados para editores de vídeo y profesionales de la posproducción, estos nuevos monitores ofrecen una gradación de color precisa y fiable para flujos de trabajo de posproducción, lo que permite obtener resultados predecibles y uniformes en publicidad, cortometrajes, contenido de marca y material para campañas en redes sociales.</w:t>
      </w:r>
    </w:p>
    <w:p w14:paraId="36EDEE4B" w14:textId="1774EB71"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Para las crecientes exigencias de la posproducción profesional</w:t>
      </w:r>
    </w:p>
    <w:p w14:paraId="60DB8B83" w14:textId="77777777" w:rsidR="007F1F45" w:rsidRPr="00027140" w:rsidRDefault="007F1F45" w:rsidP="007F1F45">
      <w:pPr>
        <w:rPr>
          <w:rFonts w:ascii="Poppins" w:eastAsiaTheme="minorHAnsi" w:hAnsi="Poppins" w:cs="Poppins"/>
          <w:color w:val="000000" w:themeColor="text1"/>
          <w:sz w:val="22"/>
          <w:lang w:val="es-ES"/>
        </w:rPr>
      </w:pPr>
      <w:r w:rsidRPr="00027140">
        <w:rPr>
          <w:rFonts w:ascii="Poppins" w:eastAsiaTheme="minorHAnsi" w:hAnsi="Poppins" w:cs="Poppins"/>
          <w:color w:val="000000" w:themeColor="text1"/>
          <w:sz w:val="22"/>
          <w:lang w:val="es-ES"/>
        </w:rPr>
        <w:t>En la posproducción comercial, lograr decisiones de color uniformes y fiables sigue siendo un desafío clave, especialmente en escenas oscuras, donde los sutiles detalles de las sombras son esenciales para la narrativa visual. Aunque los estándares del sector, como Rec.709, definen el espacio de color, mantener unos detalles precisos en las sombras en distintas pantallas y entornos de entrega suele ser complicado. Problemas como el aplastamiento de negros y las inconsistencias tonales pueden provocar errores de gradación, más tiempo dedicado a correcciones y resultados finales impredecibles.</w:t>
      </w:r>
    </w:p>
    <w:p w14:paraId="6183F961" w14:textId="77777777"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 </w:t>
      </w:r>
    </w:p>
    <w:p w14:paraId="1F02E172" w14:textId="77777777"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Diseñado para ofrecer confianza en el color durante todo el flujo de trabajo</w:t>
      </w:r>
    </w:p>
    <w:p w14:paraId="4C8F98C5" w14:textId="77777777"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 </w:t>
      </w:r>
    </w:p>
    <w:p w14:paraId="3BE4ACE9" w14:textId="77777777" w:rsidR="007F1F45" w:rsidRPr="00027140" w:rsidRDefault="007F1F45" w:rsidP="007F1F45">
      <w:pPr>
        <w:rPr>
          <w:rFonts w:ascii="Poppins" w:eastAsiaTheme="minorHAnsi" w:hAnsi="Poppins" w:cs="Poppins"/>
          <w:color w:val="000000" w:themeColor="text1"/>
          <w:sz w:val="22"/>
          <w:lang w:val="es-ES"/>
        </w:rPr>
      </w:pPr>
      <w:r w:rsidRPr="00027140">
        <w:rPr>
          <w:rFonts w:ascii="Poppins" w:eastAsiaTheme="minorHAnsi" w:hAnsi="Poppins" w:cs="Poppins"/>
          <w:color w:val="000000" w:themeColor="text1"/>
          <w:sz w:val="22"/>
          <w:lang w:val="es-ES"/>
        </w:rPr>
        <w:t xml:space="preserve">A diferencia de los monitores profesionales convencionales, que </w:t>
      </w:r>
      <w:proofErr w:type="gramStart"/>
      <w:r w:rsidRPr="00027140">
        <w:rPr>
          <w:rFonts w:ascii="Poppins" w:eastAsiaTheme="minorHAnsi" w:hAnsi="Poppins" w:cs="Poppins"/>
          <w:color w:val="000000" w:themeColor="text1"/>
          <w:sz w:val="22"/>
          <w:lang w:val="es-ES"/>
        </w:rPr>
        <w:t xml:space="preserve">se centran </w:t>
      </w:r>
      <w:r w:rsidRPr="00027140">
        <w:rPr>
          <w:rFonts w:ascii="Poppins" w:eastAsiaTheme="minorHAnsi" w:hAnsi="Poppins" w:cs="Poppins"/>
          <w:color w:val="000000" w:themeColor="text1"/>
          <w:sz w:val="22"/>
          <w:lang w:val="es-ES"/>
        </w:rPr>
        <w:lastRenderedPageBreak/>
        <w:t>principalmente en</w:t>
      </w:r>
      <w:proofErr w:type="gramEnd"/>
      <w:r w:rsidRPr="00027140">
        <w:rPr>
          <w:rFonts w:ascii="Poppins" w:eastAsiaTheme="minorHAnsi" w:hAnsi="Poppins" w:cs="Poppins"/>
          <w:color w:val="000000" w:themeColor="text1"/>
          <w:sz w:val="22"/>
          <w:lang w:val="es-ES"/>
        </w:rPr>
        <w:t xml:space="preserve"> la gama de colores y la calibración, la serie PV50 está diseñada para ofrecer una base fiable para la gradación y la evaluación, desde una reproducción precisa de las sombras hasta una estabilidad del color a largo plazo.</w:t>
      </w:r>
    </w:p>
    <w:p w14:paraId="4ECA3D56" w14:textId="77777777"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 </w:t>
      </w:r>
    </w:p>
    <w:p w14:paraId="44940FB6" w14:textId="77777777" w:rsidR="00921FBF" w:rsidRPr="00921FBF" w:rsidRDefault="007F1F45" w:rsidP="007F1F45">
      <w:pPr>
        <w:pStyle w:val="Prrafodelista"/>
        <w:numPr>
          <w:ilvl w:val="0"/>
          <w:numId w:val="15"/>
        </w:numPr>
        <w:rPr>
          <w:rFonts w:ascii="Poppins" w:eastAsiaTheme="minorHAnsi" w:hAnsi="Poppins" w:cs="Poppins"/>
          <w:b/>
          <w:bCs/>
          <w:color w:val="000000" w:themeColor="text1"/>
          <w:sz w:val="22"/>
          <w:lang w:val="es-ES"/>
        </w:rPr>
      </w:pPr>
      <w:r w:rsidRPr="00921FBF">
        <w:rPr>
          <w:rFonts w:ascii="Poppins" w:eastAsiaTheme="minorHAnsi" w:hAnsi="Poppins" w:cs="Poppins"/>
          <w:b/>
          <w:bCs/>
          <w:color w:val="000000" w:themeColor="text1"/>
          <w:sz w:val="22"/>
          <w:lang w:val="es-ES"/>
        </w:rPr>
        <w:t>Claridad en los tonos oscuros:</w:t>
      </w:r>
      <w:r w:rsidRPr="00921FBF">
        <w:rPr>
          <w:rFonts w:ascii="Poppins" w:eastAsiaTheme="minorHAnsi" w:hAnsi="Poppins" w:cs="Poppins"/>
          <w:color w:val="000000" w:themeColor="text1"/>
          <w:sz w:val="22"/>
          <w:lang w:val="es-ES"/>
        </w:rPr>
        <w:t xml:space="preserve"> conserva los detalles de las sombras para que los profesionales puedan tomar decisiones de gradación fiables en flujos de trabajo Rec.709. Gracias a la tecnología AQCOLOR, el PV50 está optimizado para flujos de trabajo Rec.709 y ajustado a una curva gamma 2.4, lo que permite reproducir los tonos oscuros de forma fiable, sin aplastamiento de negros ni cambios tonales. Junto con un panel IPS con una relación de contraste de 3000:1, muestra los detalles de las sombras de forma predecible.</w:t>
      </w:r>
    </w:p>
    <w:p w14:paraId="3A2416A8" w14:textId="77777777" w:rsidR="00921FBF" w:rsidRPr="00921FBF" w:rsidRDefault="00921FBF" w:rsidP="00921FBF">
      <w:pPr>
        <w:pStyle w:val="Prrafodelista"/>
        <w:rPr>
          <w:rFonts w:ascii="Poppins" w:eastAsiaTheme="minorHAnsi" w:hAnsi="Poppins" w:cs="Poppins"/>
          <w:b/>
          <w:bCs/>
          <w:color w:val="000000" w:themeColor="text1"/>
          <w:sz w:val="22"/>
          <w:lang w:val="es-ES"/>
        </w:rPr>
      </w:pPr>
    </w:p>
    <w:p w14:paraId="3C1A24E9" w14:textId="77777777" w:rsidR="003112BB" w:rsidRPr="003112BB" w:rsidRDefault="007F1F45" w:rsidP="003112BB">
      <w:pPr>
        <w:pStyle w:val="Prrafodelista"/>
        <w:numPr>
          <w:ilvl w:val="0"/>
          <w:numId w:val="15"/>
        </w:numPr>
        <w:rPr>
          <w:rFonts w:ascii="Poppins" w:eastAsiaTheme="minorHAnsi" w:hAnsi="Poppins" w:cs="Poppins"/>
          <w:b/>
          <w:bCs/>
          <w:color w:val="000000" w:themeColor="text1"/>
          <w:sz w:val="22"/>
          <w:lang w:val="es-ES"/>
        </w:rPr>
      </w:pPr>
      <w:r w:rsidRPr="00921FBF">
        <w:rPr>
          <w:rFonts w:ascii="Poppins" w:eastAsiaTheme="minorHAnsi" w:hAnsi="Poppins" w:cs="Poppins"/>
          <w:b/>
          <w:bCs/>
          <w:color w:val="000000" w:themeColor="text1"/>
          <w:sz w:val="22"/>
          <w:lang w:val="es-ES"/>
        </w:rPr>
        <w:t xml:space="preserve">Uniformidad de esquina a esquina: </w:t>
      </w:r>
      <w:r w:rsidRPr="00921FBF">
        <w:rPr>
          <w:rFonts w:ascii="Poppins" w:eastAsiaTheme="minorHAnsi" w:hAnsi="Poppins" w:cs="Poppins"/>
          <w:color w:val="000000" w:themeColor="text1"/>
          <w:sz w:val="22"/>
          <w:lang w:val="es-ES"/>
        </w:rPr>
        <w:t>garantiza que el color y el brillo se mantengan uniformes en toda la pantalla, incluidos los bordes exteriores que suelen pasar por alto los procesos de calibración convencionales, y minimiza los errores de juicio durante la evaluación crítica.</w:t>
      </w:r>
    </w:p>
    <w:p w14:paraId="5206C9DF" w14:textId="77777777" w:rsidR="003112BB" w:rsidRPr="003112BB" w:rsidRDefault="003112BB" w:rsidP="003112BB">
      <w:pPr>
        <w:pStyle w:val="Prrafodelista"/>
        <w:rPr>
          <w:rFonts w:ascii="Poppins" w:eastAsiaTheme="minorHAnsi" w:hAnsi="Poppins" w:cs="Poppins"/>
          <w:b/>
          <w:bCs/>
          <w:color w:val="000000" w:themeColor="text1"/>
          <w:sz w:val="22"/>
          <w:lang w:val="es-ES"/>
        </w:rPr>
      </w:pPr>
    </w:p>
    <w:p w14:paraId="4E303581" w14:textId="1C4271F2" w:rsidR="007F1F45" w:rsidRPr="003112BB" w:rsidRDefault="007F1F45" w:rsidP="003112BB">
      <w:pPr>
        <w:pStyle w:val="Prrafodelista"/>
        <w:numPr>
          <w:ilvl w:val="0"/>
          <w:numId w:val="15"/>
        </w:numPr>
        <w:rPr>
          <w:rFonts w:ascii="Poppins" w:eastAsiaTheme="minorHAnsi" w:hAnsi="Poppins" w:cs="Poppins"/>
          <w:b/>
          <w:bCs/>
          <w:color w:val="000000" w:themeColor="text1"/>
          <w:sz w:val="22"/>
          <w:lang w:val="es-ES"/>
        </w:rPr>
      </w:pPr>
      <w:r w:rsidRPr="003112BB">
        <w:rPr>
          <w:rFonts w:ascii="Poppins" w:eastAsiaTheme="minorHAnsi" w:hAnsi="Poppins" w:cs="Poppins"/>
          <w:b/>
          <w:bCs/>
          <w:color w:val="000000" w:themeColor="text1"/>
          <w:sz w:val="22"/>
          <w:lang w:val="es-ES"/>
        </w:rPr>
        <w:t>Calibración de hardware LUT 3D de 16 bits:</w:t>
      </w:r>
      <w:r w:rsidRPr="003112BB">
        <w:rPr>
          <w:rFonts w:ascii="Poppins" w:eastAsiaTheme="minorHAnsi" w:hAnsi="Poppins" w:cs="Poppins"/>
          <w:color w:val="000000" w:themeColor="text1"/>
          <w:sz w:val="22"/>
          <w:lang w:val="es-ES"/>
        </w:rPr>
        <w:t xml:space="preserve"> mantiene un color preciso en todo el rango tonal, con perfiles almacenados directamente en la pantalla para ofrecer un rendimiento uniforme independientemente de los cambios del sistema.</w:t>
      </w:r>
    </w:p>
    <w:p w14:paraId="457B7D79" w14:textId="4F981E8B" w:rsidR="007F1F45" w:rsidRPr="002F65D4"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 </w:t>
      </w:r>
      <w:r w:rsidRPr="003112BB">
        <w:rPr>
          <w:rFonts w:ascii="Poppins" w:eastAsiaTheme="minorHAnsi" w:hAnsi="Poppins" w:cs="Poppins"/>
          <w:color w:val="000000" w:themeColor="text1"/>
          <w:sz w:val="22"/>
          <w:lang w:val="es-ES"/>
        </w:rPr>
        <w:t xml:space="preserve">A partir de estas innovaciones de visualización, la serie PV50 agiliza aún más los flujos de trabajo de posproducción con herramientas integradas como Shadow Check, para inspeccionar los detalles de baja luminancia; Marker, para realizar vistas previas con varias relaciones de aspecto y guías de recorte; y </w:t>
      </w:r>
      <w:proofErr w:type="spellStart"/>
      <w:r w:rsidRPr="003112BB">
        <w:rPr>
          <w:rFonts w:ascii="Poppins" w:eastAsiaTheme="minorHAnsi" w:hAnsi="Poppins" w:cs="Poppins"/>
          <w:color w:val="000000" w:themeColor="text1"/>
          <w:sz w:val="22"/>
          <w:lang w:val="es-ES"/>
        </w:rPr>
        <w:t>Area</w:t>
      </w:r>
      <w:proofErr w:type="spellEnd"/>
      <w:r w:rsidRPr="003112BB">
        <w:rPr>
          <w:rFonts w:ascii="Poppins" w:eastAsiaTheme="minorHAnsi" w:hAnsi="Poppins" w:cs="Poppins"/>
          <w:color w:val="000000" w:themeColor="text1"/>
          <w:sz w:val="22"/>
          <w:lang w:val="es-ES"/>
        </w:rPr>
        <w:t xml:space="preserve"> </w:t>
      </w:r>
      <w:proofErr w:type="gramStart"/>
      <w:r w:rsidRPr="003112BB">
        <w:rPr>
          <w:rFonts w:ascii="Poppins" w:eastAsiaTheme="minorHAnsi" w:hAnsi="Poppins" w:cs="Poppins"/>
          <w:color w:val="000000" w:themeColor="text1"/>
          <w:sz w:val="22"/>
          <w:lang w:val="es-ES"/>
        </w:rPr>
        <w:t>Zoom</w:t>
      </w:r>
      <w:proofErr w:type="gramEnd"/>
      <w:r w:rsidRPr="003112BB">
        <w:rPr>
          <w:rFonts w:ascii="Poppins" w:eastAsiaTheme="minorHAnsi" w:hAnsi="Poppins" w:cs="Poppins"/>
          <w:color w:val="000000" w:themeColor="text1"/>
          <w:sz w:val="22"/>
          <w:lang w:val="es-ES"/>
        </w:rPr>
        <w:t>, para ampliar regiones seleccionadas sin afectar al contenido de origen.</w:t>
      </w:r>
      <w:r w:rsidRPr="003112BB">
        <w:rPr>
          <w:rFonts w:ascii="Poppins" w:eastAsiaTheme="minorHAnsi" w:hAnsi="Poppins" w:cs="Poppins"/>
          <w:color w:val="000000" w:themeColor="text1"/>
          <w:sz w:val="22"/>
          <w:lang w:val="es-ES"/>
        </w:rPr>
        <w:br/>
      </w:r>
    </w:p>
    <w:p w14:paraId="2D8961A7" w14:textId="77777777" w:rsidR="007F1F45" w:rsidRPr="007F1F45" w:rsidRDefault="007F1F45" w:rsidP="007F1F45">
      <w:pPr>
        <w:rPr>
          <w:rFonts w:ascii="Poppins" w:eastAsiaTheme="minorHAnsi" w:hAnsi="Poppins" w:cs="Poppins"/>
          <w:b/>
          <w:bCs/>
          <w:color w:val="000000" w:themeColor="text1"/>
          <w:sz w:val="22"/>
          <w:lang w:val="es-ES"/>
        </w:rPr>
      </w:pPr>
      <w:r w:rsidRPr="007F1F45">
        <w:rPr>
          <w:rFonts w:ascii="Poppins" w:eastAsiaTheme="minorHAnsi" w:hAnsi="Poppins" w:cs="Poppins"/>
          <w:b/>
          <w:bCs/>
          <w:color w:val="000000" w:themeColor="text1"/>
          <w:sz w:val="22"/>
          <w:lang w:val="es-ES"/>
        </w:rPr>
        <w:t>Acelera tu flujo de trabajo creativo</w:t>
      </w:r>
    </w:p>
    <w:p w14:paraId="0A73FD37" w14:textId="77777777" w:rsidR="007F1F45" w:rsidRPr="002F65D4" w:rsidRDefault="007F1F45" w:rsidP="007F1F45">
      <w:pPr>
        <w:rPr>
          <w:rFonts w:ascii="Poppins" w:eastAsiaTheme="minorHAnsi" w:hAnsi="Poppins" w:cs="Poppins"/>
          <w:color w:val="000000" w:themeColor="text1"/>
          <w:sz w:val="22"/>
          <w:lang w:val="es-ES"/>
        </w:rPr>
      </w:pPr>
      <w:r w:rsidRPr="007F1F45">
        <w:rPr>
          <w:rFonts w:ascii="Poppins" w:eastAsiaTheme="minorHAnsi" w:hAnsi="Poppins" w:cs="Poppins"/>
          <w:b/>
          <w:bCs/>
          <w:color w:val="000000" w:themeColor="text1"/>
          <w:sz w:val="22"/>
          <w:lang w:val="es-ES"/>
        </w:rPr>
        <w:br/>
      </w:r>
      <w:r w:rsidRPr="002F65D4">
        <w:rPr>
          <w:rFonts w:ascii="Poppins" w:eastAsiaTheme="minorHAnsi" w:hAnsi="Poppins" w:cs="Poppins"/>
          <w:color w:val="000000" w:themeColor="text1"/>
          <w:sz w:val="22"/>
          <w:lang w:val="es-ES"/>
        </w:rPr>
        <w:t xml:space="preserve">El parasol magnético se coloca al instante para eliminar los reflejos ambientales y facilitar una evaluación precisa de las sombras. </w:t>
      </w:r>
      <w:proofErr w:type="spellStart"/>
      <w:r w:rsidRPr="002F65D4">
        <w:rPr>
          <w:rFonts w:ascii="Poppins" w:eastAsiaTheme="minorHAnsi" w:hAnsi="Poppins" w:cs="Poppins"/>
          <w:color w:val="000000" w:themeColor="text1"/>
          <w:sz w:val="22"/>
          <w:lang w:val="es-ES"/>
        </w:rPr>
        <w:t>Hotkey</w:t>
      </w:r>
      <w:proofErr w:type="spellEnd"/>
      <w:r w:rsidRPr="002F65D4">
        <w:rPr>
          <w:rFonts w:ascii="Poppins" w:eastAsiaTheme="minorHAnsi" w:hAnsi="Poppins" w:cs="Poppins"/>
          <w:color w:val="000000" w:themeColor="text1"/>
          <w:sz w:val="22"/>
          <w:lang w:val="es-ES"/>
        </w:rPr>
        <w:t xml:space="preserve"> Puck ofrece acceso con un solo clic a tus modos de color y herramientas de vista previa esenciales, para agilizar el proceso de gradación. Conectado mediante un único cable Thunderbolt 4, transmite vídeo y datos, además de suministrar 96 W de potencia a tu Mac, creando un espacio de trabajo despejado y eficiente.</w:t>
      </w:r>
    </w:p>
    <w:p w14:paraId="22A9543E" w14:textId="77777777" w:rsidR="00A55719" w:rsidRPr="00A55719" w:rsidRDefault="00A55719" w:rsidP="00A55719">
      <w:pPr>
        <w:rPr>
          <w:rFonts w:ascii="Poppins" w:hAnsi="Poppins" w:cs="Poppins"/>
          <w:b/>
          <w:bCs/>
          <w:color w:val="000000" w:themeColor="text1"/>
          <w:sz w:val="22"/>
          <w:lang w:val="es-ES"/>
        </w:rPr>
      </w:pPr>
      <w:r w:rsidRPr="00A55719">
        <w:rPr>
          <w:rFonts w:ascii="Poppins" w:hAnsi="Poppins" w:cs="Poppins"/>
          <w:b/>
          <w:bCs/>
          <w:color w:val="000000" w:themeColor="text1"/>
          <w:sz w:val="22"/>
          <w:u w:val="single"/>
          <w:lang w:val="es-ES"/>
        </w:rPr>
        <w:lastRenderedPageBreak/>
        <w:t xml:space="preserve">Acerca de BenQ </w:t>
      </w:r>
      <w:proofErr w:type="spellStart"/>
      <w:r w:rsidRPr="00A55719">
        <w:rPr>
          <w:rFonts w:ascii="Poppins" w:hAnsi="Poppins" w:cs="Poppins"/>
          <w:b/>
          <w:bCs/>
          <w:color w:val="000000" w:themeColor="text1"/>
          <w:sz w:val="22"/>
          <w:u w:val="single"/>
          <w:lang w:val="es-ES"/>
        </w:rPr>
        <w:t>Corporation</w:t>
      </w:r>
      <w:proofErr w:type="spellEnd"/>
    </w:p>
    <w:p w14:paraId="1EA06A0D" w14:textId="23AC535E"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 xml:space="preserve">BenQ </w:t>
      </w:r>
      <w:proofErr w:type="spellStart"/>
      <w:r w:rsidRPr="00A55719">
        <w:rPr>
          <w:rFonts w:ascii="Poppins" w:hAnsi="Poppins" w:cs="Poppins"/>
          <w:color w:val="000000" w:themeColor="text1"/>
          <w:sz w:val="22"/>
          <w:lang w:val="es-ES"/>
        </w:rPr>
        <w:t>Corporation</w:t>
      </w:r>
      <w:proofErr w:type="spellEnd"/>
      <w:r w:rsidRPr="00A55719">
        <w:rPr>
          <w:rFonts w:ascii="Poppins" w:hAnsi="Poppins" w:cs="Poppins"/>
          <w:color w:val="000000" w:themeColor="text1"/>
          <w:sz w:val="22"/>
          <w:lang w:val="es-ES"/>
        </w:rPr>
        <w:t xml:space="preserve"> es un proveedor líder mundial de productos y soluciones tecnológicas, con más de 30 años de experiencia en tecnologías de Pantalla. Desde que presentó su promesa de marca —“</w:t>
      </w:r>
      <w:proofErr w:type="spellStart"/>
      <w:r w:rsidRPr="00A55719">
        <w:rPr>
          <w:rFonts w:ascii="Poppins" w:hAnsi="Poppins" w:cs="Poppins"/>
          <w:color w:val="000000" w:themeColor="text1"/>
          <w:sz w:val="22"/>
          <w:lang w:val="es-ES"/>
        </w:rPr>
        <w:t>Bringing</w:t>
      </w:r>
      <w:proofErr w:type="spellEnd"/>
      <w:r w:rsidRPr="00A55719">
        <w:rPr>
          <w:rFonts w:ascii="Poppins" w:hAnsi="Poppins" w:cs="Poppins"/>
          <w:color w:val="000000" w:themeColor="text1"/>
          <w:sz w:val="22"/>
          <w:lang w:val="es-ES"/>
        </w:rPr>
        <w:t xml:space="preserve"> </w:t>
      </w:r>
      <w:proofErr w:type="spellStart"/>
      <w:r w:rsidRPr="00A55719">
        <w:rPr>
          <w:rFonts w:ascii="Poppins" w:hAnsi="Poppins" w:cs="Poppins"/>
          <w:color w:val="000000" w:themeColor="text1"/>
          <w:sz w:val="22"/>
          <w:lang w:val="es-ES"/>
        </w:rPr>
        <w:t>Enjoyment</w:t>
      </w:r>
      <w:proofErr w:type="spellEnd"/>
      <w:r w:rsidRPr="00A55719">
        <w:rPr>
          <w:rFonts w:ascii="Poppins" w:hAnsi="Poppins" w:cs="Poppins"/>
          <w:color w:val="000000" w:themeColor="text1"/>
          <w:sz w:val="22"/>
          <w:lang w:val="es-ES"/>
        </w:rPr>
        <w:t xml:space="preserve"> ‘N’ </w:t>
      </w:r>
      <w:proofErr w:type="spellStart"/>
      <w:r w:rsidRPr="00A55719">
        <w:rPr>
          <w:rFonts w:ascii="Poppins" w:hAnsi="Poppins" w:cs="Poppins"/>
          <w:color w:val="000000" w:themeColor="text1"/>
          <w:sz w:val="22"/>
          <w:lang w:val="es-ES"/>
        </w:rPr>
        <w:t>Quality</w:t>
      </w:r>
      <w:proofErr w:type="spellEnd"/>
      <w:r w:rsidRPr="00A55719">
        <w:rPr>
          <w:rFonts w:ascii="Poppins" w:hAnsi="Poppins" w:cs="Poppins"/>
          <w:color w:val="000000" w:themeColor="text1"/>
          <w:sz w:val="22"/>
          <w:lang w:val="es-ES"/>
        </w:rPr>
        <w:t xml:space="preserve"> </w:t>
      </w:r>
      <w:proofErr w:type="spellStart"/>
      <w:r w:rsidRPr="00A55719">
        <w:rPr>
          <w:rFonts w:ascii="Poppins" w:hAnsi="Poppins" w:cs="Poppins"/>
          <w:color w:val="000000" w:themeColor="text1"/>
          <w:sz w:val="22"/>
          <w:lang w:val="es-ES"/>
        </w:rPr>
        <w:t>to</w:t>
      </w:r>
      <w:proofErr w:type="spellEnd"/>
      <w:r w:rsidRPr="00A55719">
        <w:rPr>
          <w:rFonts w:ascii="Poppins" w:hAnsi="Poppins" w:cs="Poppins"/>
          <w:color w:val="000000" w:themeColor="text1"/>
          <w:sz w:val="22"/>
          <w:lang w:val="es-ES"/>
        </w:rPr>
        <w:t xml:space="preserve"> Life”— en 2001, BenQ se ha comprometido a mejorar la vida de las personas mediante tecnologías innovadoras en los ámbitos del estilo de vida digital, los negocios, la atención sanitaria y la educación.</w:t>
      </w:r>
    </w:p>
    <w:p w14:paraId="2C963A52" w14:textId="6D7BF875"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 xml:space="preserve">Con numerosos premios internacionales de diseño, BenQ aplica una filosofía de diseño centrada en las personas al desarrollo de sus productos. Su amplia gama incluye Pantallas de gran formato, monitores, proyectores, iluminación inteligente, Pantallas comerciales —interactivas y de señalización digital—, equipos profesionales para </w:t>
      </w:r>
      <w:proofErr w:type="spellStart"/>
      <w:r w:rsidRPr="00A55719">
        <w:rPr>
          <w:rFonts w:ascii="Poppins" w:hAnsi="Poppins" w:cs="Poppins"/>
          <w:color w:val="000000" w:themeColor="text1"/>
          <w:sz w:val="22"/>
          <w:lang w:val="es-ES"/>
        </w:rPr>
        <w:t>gaming</w:t>
      </w:r>
      <w:proofErr w:type="spellEnd"/>
      <w:r w:rsidRPr="00A55719">
        <w:rPr>
          <w:rFonts w:ascii="Poppins" w:hAnsi="Poppins" w:cs="Poppins"/>
          <w:color w:val="000000" w:themeColor="text1"/>
          <w:sz w:val="22"/>
          <w:lang w:val="es-ES"/>
        </w:rPr>
        <w:t xml:space="preserve"> y soluciones para el trabajo remoto.</w:t>
      </w:r>
    </w:p>
    <w:p w14:paraId="1A482CA4" w14:textId="77777777"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BenQ cuenta con cinco oficinas regionales en Norteamérica, Europa, China, Asia-Pacífico y Latinoamérica. Con presencia en más de 26 países y una marca presente en más de 100 mercados, BenQ ofrece asistencia local profesional y ágil a usuarios de todo el mundo. Para obtener más información, visita: https://www.benq.com/</w:t>
      </w:r>
    </w:p>
    <w:p w14:paraId="5DE542AD" w14:textId="77777777" w:rsidR="00A55719" w:rsidRPr="00A55719" w:rsidRDefault="00A55719" w:rsidP="00A55719">
      <w:pPr>
        <w:rPr>
          <w:rFonts w:ascii="Poppins" w:hAnsi="Poppins" w:cs="Poppins"/>
          <w:b/>
          <w:bCs/>
          <w:color w:val="000000" w:themeColor="text1"/>
          <w:sz w:val="22"/>
          <w:lang w:val="es-ES"/>
        </w:rPr>
      </w:pPr>
      <w:r w:rsidRPr="00A55719">
        <w:rPr>
          <w:rFonts w:ascii="Poppins" w:hAnsi="Poppins" w:cs="Poppins"/>
          <w:b/>
          <w:bCs/>
          <w:color w:val="000000" w:themeColor="text1"/>
          <w:sz w:val="22"/>
          <w:lang w:val="es-ES"/>
        </w:rPr>
        <w:t> </w:t>
      </w:r>
    </w:p>
    <w:p w14:paraId="3F3BE268" w14:textId="6827784C" w:rsidR="00A55719" w:rsidRPr="00A55719" w:rsidRDefault="002178D0" w:rsidP="00A55719">
      <w:pPr>
        <w:rPr>
          <w:rFonts w:ascii="Poppins" w:hAnsi="Poppins" w:cs="Poppins"/>
          <w:b/>
          <w:bCs/>
          <w:color w:val="000000" w:themeColor="text1"/>
          <w:sz w:val="22"/>
          <w:lang w:val="es-ES"/>
        </w:rPr>
      </w:pPr>
      <w:proofErr w:type="spellStart"/>
      <w:r>
        <w:rPr>
          <w:rFonts w:ascii="Poppins" w:hAnsi="Poppins" w:cs="Poppins"/>
          <w:b/>
          <w:bCs/>
          <w:color w:val="000000" w:themeColor="text1"/>
          <w:sz w:val="22"/>
          <w:u w:val="single"/>
          <w:lang w:val="es-ES"/>
        </w:rPr>
        <w:t>Aerca</w:t>
      </w:r>
      <w:proofErr w:type="spellEnd"/>
      <w:r>
        <w:rPr>
          <w:rFonts w:ascii="Poppins" w:hAnsi="Poppins" w:cs="Poppins"/>
          <w:b/>
          <w:bCs/>
          <w:color w:val="000000" w:themeColor="text1"/>
          <w:sz w:val="22"/>
          <w:u w:val="single"/>
          <w:lang w:val="es-ES"/>
        </w:rPr>
        <w:t xml:space="preserve"> de </w:t>
      </w:r>
      <w:r w:rsidR="00A55719" w:rsidRPr="00A55719">
        <w:rPr>
          <w:rFonts w:ascii="Poppins" w:hAnsi="Poppins" w:cs="Poppins"/>
          <w:b/>
          <w:bCs/>
          <w:color w:val="000000" w:themeColor="text1"/>
          <w:sz w:val="22"/>
          <w:u w:val="single"/>
          <w:lang w:val="es-ES"/>
        </w:rPr>
        <w:t>BenQ Creative Pro</w:t>
      </w:r>
    </w:p>
    <w:p w14:paraId="30950A59" w14:textId="712BC9A7" w:rsidR="00A14C30" w:rsidRPr="00A11FF7" w:rsidRDefault="00A55719" w:rsidP="00A55719">
      <w:pPr>
        <w:rPr>
          <w:rFonts w:ascii="Poppins" w:hAnsi="Poppins" w:cs="Poppins"/>
          <w:color w:val="000000" w:themeColor="text1"/>
          <w:sz w:val="22"/>
          <w:lang w:val="es-ES"/>
        </w:rPr>
      </w:pPr>
      <w:r w:rsidRPr="002178D0">
        <w:rPr>
          <w:rFonts w:ascii="Poppins" w:hAnsi="Poppins" w:cs="Poppins"/>
          <w:color w:val="000000" w:themeColor="text1"/>
          <w:sz w:val="22"/>
          <w:lang w:val="es-ES"/>
        </w:rPr>
        <w:t>BenQ Creative Pro es la marca profesional de BenQ dedicada a ayudar a los creadores que necesitan un color preciso y fiable en cada etapa del flujo de trabajo. Gracias a la tecnología AQCOLOR, la uniformidad de esquina a esquina y la precisión calibrada en fábrica, BenQ Creative Pro ofrece un color de confianza para cada entrega, desde el concepto hasta la producción. Basado en la ciencia del color y validado por estándares del sector, el desarrollo de BenQ Creative Pro está dirigido por el reconocido experto mundial en color Dr. Chris Bai, cuyo trabajo con los estándares internacionales de Pantalla ICC e ISO refuerza el compromiso de BenQ con un color fiel a la intención original para fotógrafos, diseñadores gráficos y profesionales del vídeo.</w:t>
      </w:r>
    </w:p>
    <w:sectPr w:rsidR="00A14C30" w:rsidRPr="00A11FF7" w:rsidSect="00D56E18">
      <w:headerReference w:type="default" r:id="rId11"/>
      <w:footerReference w:type="default" r:id="rId12"/>
      <w:pgSz w:w="11906" w:h="16838"/>
      <w:pgMar w:top="1985" w:right="1133" w:bottom="1276" w:left="1440" w:header="851" w:footer="319"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B728D" w14:textId="77777777" w:rsidR="002533FE" w:rsidRDefault="002533FE" w:rsidP="00267DAB">
      <w:pPr>
        <w:spacing w:after="0" w:line="240" w:lineRule="auto"/>
      </w:pPr>
      <w:r>
        <w:separator/>
      </w:r>
    </w:p>
  </w:endnote>
  <w:endnote w:type="continuationSeparator" w:id="0">
    <w:p w14:paraId="29AB82ED" w14:textId="77777777" w:rsidR="002533FE" w:rsidRDefault="002533FE" w:rsidP="00267DAB">
      <w:pPr>
        <w:spacing w:after="0" w:line="240" w:lineRule="auto"/>
      </w:pPr>
      <w:r>
        <w:continuationSeparator/>
      </w:r>
    </w:p>
  </w:endnote>
  <w:endnote w:type="continuationNotice" w:id="1">
    <w:p w14:paraId="7A932DA1" w14:textId="77777777" w:rsidR="002533FE" w:rsidRDefault="00253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Poppins">
    <w:panose1 w:val="00000500000000000000"/>
    <w:charset w:val="00"/>
    <w:family w:val="auto"/>
    <w:pitch w:val="variable"/>
    <w:sig w:usb0="00008007" w:usb1="00000000"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B858E" w14:textId="000B65C3" w:rsidR="00AB0A2B" w:rsidRDefault="00EA777C" w:rsidP="00EA777C">
    <w:pPr>
      <w:pStyle w:val="Piedepgina"/>
      <w:spacing w:after="0" w:line="240" w:lineRule="auto"/>
      <w:jc w:val="center"/>
      <w:rPr>
        <w:szCs w:val="20"/>
        <w:lang w:val="pt-PT"/>
      </w:rPr>
    </w:pPr>
    <w:r>
      <w:rPr>
        <w:noProof/>
        <w:szCs w:val="20"/>
        <w:lang w:val="pt-PT"/>
      </w:rPr>
      <w:drawing>
        <wp:anchor distT="0" distB="0" distL="114300" distR="114300" simplePos="0" relativeHeight="251658240" behindDoc="0" locked="0" layoutInCell="1" allowOverlap="1" wp14:anchorId="5FC55C04" wp14:editId="6469AD1F">
          <wp:simplePos x="0" y="0"/>
          <wp:positionH relativeFrom="column">
            <wp:posOffset>2681283</wp:posOffset>
          </wp:positionH>
          <wp:positionV relativeFrom="paragraph">
            <wp:posOffset>222250</wp:posOffset>
          </wp:positionV>
          <wp:extent cx="573405" cy="184785"/>
          <wp:effectExtent l="0" t="0" r="0" b="5715"/>
          <wp:wrapSquare wrapText="bothSides"/>
          <wp:docPr id="125749687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184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0A2B" w:rsidRPr="004A0401">
      <w:rPr>
        <w:szCs w:val="20"/>
        <w:lang w:val="pt-PT"/>
      </w:rPr>
      <w:t>Distribuidor oficial</w:t>
    </w:r>
  </w:p>
  <w:p w14:paraId="753757F0" w14:textId="77777777" w:rsidR="00EA777C" w:rsidRPr="00EA777C" w:rsidRDefault="00EA777C" w:rsidP="00EA777C">
    <w:pPr>
      <w:pStyle w:val="Piedepgina"/>
      <w:spacing w:after="0" w:line="240" w:lineRule="auto"/>
      <w:jc w:val="center"/>
      <w:rPr>
        <w:sz w:val="18"/>
        <w:szCs w:val="18"/>
        <w:lang w:val="pt-PT"/>
      </w:rPr>
    </w:pPr>
  </w:p>
  <w:p w14:paraId="0E0D4E6B" w14:textId="7A3FE399" w:rsidR="00723D90" w:rsidRPr="00AB0A2B" w:rsidRDefault="00AB0A2B" w:rsidP="00EA777C">
    <w:pPr>
      <w:pStyle w:val="Piedepgina"/>
      <w:spacing w:after="0" w:line="240" w:lineRule="auto"/>
      <w:jc w:val="center"/>
      <w:rPr>
        <w:szCs w:val="20"/>
        <w:lang w:val="pt-PT"/>
      </w:rPr>
    </w:pPr>
    <w:r w:rsidRPr="004A0401">
      <w:rPr>
        <w:szCs w:val="20"/>
        <w:lang w:val="pt-PT"/>
      </w:rPr>
      <w:t>Rodolfo Biber, S.A. · info@robisa.es · +34 91 7292 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BCB2" w14:textId="77777777" w:rsidR="002533FE" w:rsidRDefault="002533FE" w:rsidP="00267DAB">
      <w:pPr>
        <w:spacing w:after="0" w:line="240" w:lineRule="auto"/>
      </w:pPr>
      <w:r>
        <w:separator/>
      </w:r>
    </w:p>
  </w:footnote>
  <w:footnote w:type="continuationSeparator" w:id="0">
    <w:p w14:paraId="64EB0F1C" w14:textId="77777777" w:rsidR="002533FE" w:rsidRDefault="002533FE" w:rsidP="00267DAB">
      <w:pPr>
        <w:spacing w:after="0" w:line="240" w:lineRule="auto"/>
      </w:pPr>
      <w:r>
        <w:continuationSeparator/>
      </w:r>
    </w:p>
  </w:footnote>
  <w:footnote w:type="continuationNotice" w:id="1">
    <w:p w14:paraId="744B9259" w14:textId="77777777" w:rsidR="002533FE" w:rsidRDefault="00253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0ABA" w14:textId="76BD19B4" w:rsidR="001B12D6" w:rsidRDefault="00320060">
    <w:pPr>
      <w:pStyle w:val="Encabezado"/>
    </w:pPr>
    <w:r>
      <w:rPr>
        <w:noProof/>
      </w:rPr>
      <mc:AlternateContent>
        <mc:Choice Requires="wps">
          <w:drawing>
            <wp:anchor distT="45720" distB="45720" distL="114300" distR="114300" simplePos="0" relativeHeight="251658242" behindDoc="0" locked="0" layoutInCell="1" allowOverlap="1" wp14:anchorId="4F901350" wp14:editId="16F2B300">
              <wp:simplePos x="0" y="0"/>
              <wp:positionH relativeFrom="column">
                <wp:posOffset>-8255</wp:posOffset>
              </wp:positionH>
              <wp:positionV relativeFrom="paragraph">
                <wp:posOffset>86780</wp:posOffset>
              </wp:positionV>
              <wp:extent cx="1828800" cy="309880"/>
              <wp:effectExtent l="0" t="0" r="19050" b="139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9880"/>
                      </a:xfrm>
                      <a:prstGeom prst="rect">
                        <a:avLst/>
                      </a:prstGeom>
                      <a:solidFill>
                        <a:srgbClr val="FFFFFF"/>
                      </a:solidFill>
                      <a:ln w="9525">
                        <a:solidFill>
                          <a:srgbClr val="000000"/>
                        </a:solidFill>
                        <a:miter lim="800000"/>
                        <a:headEnd/>
                        <a:tailEnd/>
                      </a:ln>
                    </wps:spPr>
                    <wps:txbx>
                      <w:txbxContent>
                        <w:p w14:paraId="6E901E8D" w14:textId="41E252E8" w:rsidR="00320060" w:rsidRPr="00E63B06" w:rsidRDefault="00320060" w:rsidP="00E63B06">
                          <w:pPr>
                            <w:jc w:val="center"/>
                          </w:pPr>
                          <w:r>
                            <w:t>COMUNICADO DE PRENSA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901350" id="_x0000_t202" coordsize="21600,21600" o:spt="202" path="m,l,21600r21600,l21600,xe">
              <v:stroke joinstyle="miter"/>
              <v:path gradientshapeok="t" o:connecttype="rect"/>
            </v:shapetype>
            <v:shape id="Cuadro de texto 2" o:spid="_x0000_s1026" type="#_x0000_t202" style="position:absolute;left:0;text-align:left;margin-left:-.65pt;margin-top:6.85pt;width:2in;height:24.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">
              <v:textbox>
                <w:txbxContent>
                  <w:p w14:paraId="6E901E8D" w14:textId="41E252E8" w:rsidR="00320060" w:rsidRPr="00E63B06" w:rsidRDefault="00320060" w:rsidP="00E63B06">
                    <w:pPr>
                      <w:jc w:val="center"/>
                    </w:pPr>
                    <w:r>
                      <w:t>COMUNICADO DE PRENSA</w:t>
                    </w:r>
                  </w:p>
                </w:txbxContent>
              </v:textbox>
              <w10:wrap type="square"/>
            </v:shape>
          </w:pict>
        </mc:Fallback>
      </mc:AlternateContent>
    </w:r>
    <w:r>
      <w:rPr>
        <w:rFonts w:ascii="Palatino Linotype" w:hAnsi="Palatino Linotype" w:cs="Arial"/>
        <w:noProof/>
        <w:color w:val="000000" w:themeColor="text1"/>
      </w:rPr>
      <w:drawing>
        <wp:anchor distT="0" distB="0" distL="114300" distR="114300" simplePos="0" relativeHeight="251658241" behindDoc="0" locked="0" layoutInCell="1" allowOverlap="1" wp14:anchorId="55CC0B3F" wp14:editId="2C71718C">
          <wp:simplePos x="0" y="0"/>
          <wp:positionH relativeFrom="column">
            <wp:posOffset>4471261</wp:posOffset>
          </wp:positionH>
          <wp:positionV relativeFrom="paragraph">
            <wp:posOffset>-160827</wp:posOffset>
          </wp:positionV>
          <wp:extent cx="1402080" cy="601901"/>
          <wp:effectExtent l="0" t="0" r="0" b="8255"/>
          <wp:wrapSquare wrapText="bothSides"/>
          <wp:docPr id="189586494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t="17542" b="17523"/>
                  <a:stretch/>
                </pic:blipFill>
                <pic:spPr bwMode="auto">
                  <a:xfrm>
                    <a:off x="0" y="0"/>
                    <a:ext cx="1402080" cy="6019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FBC"/>
    <w:multiLevelType w:val="multilevel"/>
    <w:tmpl w:val="78D4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112B"/>
    <w:multiLevelType w:val="multilevel"/>
    <w:tmpl w:val="A57CE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C4787"/>
    <w:multiLevelType w:val="multilevel"/>
    <w:tmpl w:val="95EE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122D6A"/>
    <w:multiLevelType w:val="multilevel"/>
    <w:tmpl w:val="FF16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1A65DD"/>
    <w:multiLevelType w:val="multilevel"/>
    <w:tmpl w:val="1344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DD1B6E"/>
    <w:multiLevelType w:val="multilevel"/>
    <w:tmpl w:val="DD76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E20FA9"/>
    <w:multiLevelType w:val="multilevel"/>
    <w:tmpl w:val="D90C5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A624AE"/>
    <w:multiLevelType w:val="multilevel"/>
    <w:tmpl w:val="D3FA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25381"/>
    <w:multiLevelType w:val="multilevel"/>
    <w:tmpl w:val="97B2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5F2765"/>
    <w:multiLevelType w:val="multilevel"/>
    <w:tmpl w:val="1650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713D1E"/>
    <w:multiLevelType w:val="hybridMultilevel"/>
    <w:tmpl w:val="AF1E9B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CA102FA"/>
    <w:multiLevelType w:val="hybridMultilevel"/>
    <w:tmpl w:val="F4ECC8F8"/>
    <w:lvl w:ilvl="0" w:tplc="519415B4">
      <w:start w:val="1"/>
      <w:numFmt w:val="bullet"/>
      <w:lvlText w:val="●"/>
      <w:lvlJc w:val="left"/>
      <w:pPr>
        <w:ind w:left="720" w:hanging="360"/>
      </w:pPr>
    </w:lvl>
    <w:lvl w:ilvl="1" w:tplc="204C826C">
      <w:start w:val="1"/>
      <w:numFmt w:val="bullet"/>
      <w:lvlText w:val="○"/>
      <w:lvlJc w:val="left"/>
      <w:pPr>
        <w:ind w:left="1440" w:hanging="360"/>
      </w:pPr>
    </w:lvl>
    <w:lvl w:ilvl="2" w:tplc="E70EC332">
      <w:start w:val="1"/>
      <w:numFmt w:val="bullet"/>
      <w:lvlText w:val="■"/>
      <w:lvlJc w:val="left"/>
      <w:pPr>
        <w:ind w:left="2160" w:hanging="360"/>
      </w:pPr>
    </w:lvl>
    <w:lvl w:ilvl="3" w:tplc="095EADBA">
      <w:start w:val="1"/>
      <w:numFmt w:val="bullet"/>
      <w:lvlText w:val="●"/>
      <w:lvlJc w:val="left"/>
      <w:pPr>
        <w:ind w:left="2880" w:hanging="360"/>
      </w:pPr>
    </w:lvl>
    <w:lvl w:ilvl="4" w:tplc="4956C082">
      <w:start w:val="1"/>
      <w:numFmt w:val="bullet"/>
      <w:lvlText w:val="○"/>
      <w:lvlJc w:val="left"/>
      <w:pPr>
        <w:ind w:left="3600" w:hanging="360"/>
      </w:pPr>
    </w:lvl>
    <w:lvl w:ilvl="5" w:tplc="B7CC9984">
      <w:start w:val="1"/>
      <w:numFmt w:val="bullet"/>
      <w:lvlText w:val="■"/>
      <w:lvlJc w:val="left"/>
      <w:pPr>
        <w:ind w:left="4320" w:hanging="360"/>
      </w:pPr>
    </w:lvl>
    <w:lvl w:ilvl="6" w:tplc="EE9EAE7C">
      <w:start w:val="1"/>
      <w:numFmt w:val="bullet"/>
      <w:lvlText w:val="●"/>
      <w:lvlJc w:val="left"/>
      <w:pPr>
        <w:ind w:left="5040" w:hanging="360"/>
      </w:pPr>
    </w:lvl>
    <w:lvl w:ilvl="7" w:tplc="3D728806">
      <w:start w:val="1"/>
      <w:numFmt w:val="bullet"/>
      <w:lvlText w:val="●"/>
      <w:lvlJc w:val="left"/>
      <w:pPr>
        <w:ind w:left="5760" w:hanging="360"/>
      </w:pPr>
    </w:lvl>
    <w:lvl w:ilvl="8" w:tplc="F2E852C4">
      <w:start w:val="1"/>
      <w:numFmt w:val="bullet"/>
      <w:lvlText w:val="●"/>
      <w:lvlJc w:val="left"/>
      <w:pPr>
        <w:ind w:left="6480" w:hanging="360"/>
      </w:pPr>
    </w:lvl>
  </w:abstractNum>
  <w:abstractNum w:abstractNumId="12" w15:restartNumberingAfterBreak="0">
    <w:nsid w:val="631D188F"/>
    <w:multiLevelType w:val="multilevel"/>
    <w:tmpl w:val="B338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75266D"/>
    <w:multiLevelType w:val="multilevel"/>
    <w:tmpl w:val="ACB40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B9128C"/>
    <w:multiLevelType w:val="hybridMultilevel"/>
    <w:tmpl w:val="20F24660"/>
    <w:lvl w:ilvl="0" w:tplc="51F461C0">
      <w:start w:val="1"/>
      <w:numFmt w:val="bullet"/>
      <w:lvlText w:val="●"/>
      <w:lvlJc w:val="left"/>
      <w:pPr>
        <w:ind w:left="720" w:hanging="360"/>
      </w:pPr>
    </w:lvl>
    <w:lvl w:ilvl="1" w:tplc="94F85FF8">
      <w:start w:val="1"/>
      <w:numFmt w:val="bullet"/>
      <w:lvlText w:val="○"/>
      <w:lvlJc w:val="left"/>
      <w:pPr>
        <w:ind w:left="1440" w:hanging="360"/>
      </w:pPr>
    </w:lvl>
    <w:lvl w:ilvl="2" w:tplc="21229880">
      <w:start w:val="1"/>
      <w:numFmt w:val="bullet"/>
      <w:lvlText w:val="■"/>
      <w:lvlJc w:val="left"/>
      <w:pPr>
        <w:ind w:left="2160" w:hanging="360"/>
      </w:pPr>
    </w:lvl>
    <w:lvl w:ilvl="3" w:tplc="D16E27E4">
      <w:start w:val="1"/>
      <w:numFmt w:val="bullet"/>
      <w:lvlText w:val="●"/>
      <w:lvlJc w:val="left"/>
      <w:pPr>
        <w:ind w:left="2880" w:hanging="360"/>
      </w:pPr>
    </w:lvl>
    <w:lvl w:ilvl="4" w:tplc="BA4C9440">
      <w:start w:val="1"/>
      <w:numFmt w:val="bullet"/>
      <w:lvlText w:val="○"/>
      <w:lvlJc w:val="left"/>
      <w:pPr>
        <w:ind w:left="3600" w:hanging="360"/>
      </w:pPr>
    </w:lvl>
    <w:lvl w:ilvl="5" w:tplc="02D02692">
      <w:start w:val="1"/>
      <w:numFmt w:val="bullet"/>
      <w:lvlText w:val="■"/>
      <w:lvlJc w:val="left"/>
      <w:pPr>
        <w:ind w:left="4320" w:hanging="360"/>
      </w:pPr>
    </w:lvl>
    <w:lvl w:ilvl="6" w:tplc="0A8AB8A2">
      <w:start w:val="1"/>
      <w:numFmt w:val="bullet"/>
      <w:lvlText w:val="●"/>
      <w:lvlJc w:val="left"/>
      <w:pPr>
        <w:ind w:left="5040" w:hanging="360"/>
      </w:pPr>
    </w:lvl>
    <w:lvl w:ilvl="7" w:tplc="D62AC570">
      <w:start w:val="1"/>
      <w:numFmt w:val="bullet"/>
      <w:lvlText w:val="●"/>
      <w:lvlJc w:val="left"/>
      <w:pPr>
        <w:ind w:left="5760" w:hanging="360"/>
      </w:pPr>
    </w:lvl>
    <w:lvl w:ilvl="8" w:tplc="101E9D8C">
      <w:start w:val="1"/>
      <w:numFmt w:val="bullet"/>
      <w:lvlText w:val="●"/>
      <w:lvlJc w:val="left"/>
      <w:pPr>
        <w:ind w:left="6480" w:hanging="360"/>
      </w:pPr>
    </w:lvl>
  </w:abstractNum>
  <w:num w:numId="1" w16cid:durableId="737827229">
    <w:abstractNumId w:val="0"/>
  </w:num>
  <w:num w:numId="2" w16cid:durableId="94593113">
    <w:abstractNumId w:val="4"/>
  </w:num>
  <w:num w:numId="3" w16cid:durableId="135295558">
    <w:abstractNumId w:val="1"/>
  </w:num>
  <w:num w:numId="4" w16cid:durableId="1705717919">
    <w:abstractNumId w:val="9"/>
  </w:num>
  <w:num w:numId="5" w16cid:durableId="1909802465">
    <w:abstractNumId w:val="13"/>
  </w:num>
  <w:num w:numId="6" w16cid:durableId="1113984358">
    <w:abstractNumId w:val="3"/>
  </w:num>
  <w:num w:numId="7" w16cid:durableId="1900627424">
    <w:abstractNumId w:val="8"/>
  </w:num>
  <w:num w:numId="8" w16cid:durableId="1868063938">
    <w:abstractNumId w:val="12"/>
  </w:num>
  <w:num w:numId="9" w16cid:durableId="1043482688">
    <w:abstractNumId w:val="5"/>
  </w:num>
  <w:num w:numId="10" w16cid:durableId="332805467">
    <w:abstractNumId w:val="2"/>
  </w:num>
  <w:num w:numId="11" w16cid:durableId="1567302973">
    <w:abstractNumId w:val="6"/>
  </w:num>
  <w:num w:numId="12" w16cid:durableId="807670044">
    <w:abstractNumId w:val="7"/>
  </w:num>
  <w:num w:numId="13" w16cid:durableId="573247022">
    <w:abstractNumId w:val="11"/>
  </w:num>
  <w:num w:numId="14" w16cid:durableId="18706622">
    <w:abstractNumId w:val="14"/>
  </w:num>
  <w:num w:numId="15" w16cid:durableId="13197699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DAB"/>
    <w:rsid w:val="000002DF"/>
    <w:rsid w:val="00005623"/>
    <w:rsid w:val="00023079"/>
    <w:rsid w:val="00027140"/>
    <w:rsid w:val="0002726A"/>
    <w:rsid w:val="00035FD2"/>
    <w:rsid w:val="00040709"/>
    <w:rsid w:val="00052844"/>
    <w:rsid w:val="00060938"/>
    <w:rsid w:val="000630ED"/>
    <w:rsid w:val="000668B3"/>
    <w:rsid w:val="00071CC8"/>
    <w:rsid w:val="00085006"/>
    <w:rsid w:val="00093075"/>
    <w:rsid w:val="00096CBF"/>
    <w:rsid w:val="000A69E1"/>
    <w:rsid w:val="000B1609"/>
    <w:rsid w:val="000C11CA"/>
    <w:rsid w:val="000C47BB"/>
    <w:rsid w:val="000E4B3D"/>
    <w:rsid w:val="00105879"/>
    <w:rsid w:val="00140D8C"/>
    <w:rsid w:val="0014650D"/>
    <w:rsid w:val="0017266C"/>
    <w:rsid w:val="00184C94"/>
    <w:rsid w:val="00185234"/>
    <w:rsid w:val="00190E00"/>
    <w:rsid w:val="00194339"/>
    <w:rsid w:val="00195059"/>
    <w:rsid w:val="001A1CD0"/>
    <w:rsid w:val="001B03E0"/>
    <w:rsid w:val="001B12D6"/>
    <w:rsid w:val="001B4B89"/>
    <w:rsid w:val="001B5E63"/>
    <w:rsid w:val="001B7437"/>
    <w:rsid w:val="001C5C00"/>
    <w:rsid w:val="001D1B46"/>
    <w:rsid w:val="001D3758"/>
    <w:rsid w:val="001D5E10"/>
    <w:rsid w:val="001E0F8A"/>
    <w:rsid w:val="001F1C2B"/>
    <w:rsid w:val="001F3967"/>
    <w:rsid w:val="00212182"/>
    <w:rsid w:val="002178D0"/>
    <w:rsid w:val="002311AC"/>
    <w:rsid w:val="00236820"/>
    <w:rsid w:val="002533FE"/>
    <w:rsid w:val="00254A24"/>
    <w:rsid w:val="002557CC"/>
    <w:rsid w:val="00267DAB"/>
    <w:rsid w:val="00275C1C"/>
    <w:rsid w:val="00291AC7"/>
    <w:rsid w:val="00297D7A"/>
    <w:rsid w:val="002A1176"/>
    <w:rsid w:val="002A54F8"/>
    <w:rsid w:val="002B3A67"/>
    <w:rsid w:val="002C3711"/>
    <w:rsid w:val="002D1A82"/>
    <w:rsid w:val="002D2A51"/>
    <w:rsid w:val="002F65D4"/>
    <w:rsid w:val="002F769B"/>
    <w:rsid w:val="003112BB"/>
    <w:rsid w:val="00320060"/>
    <w:rsid w:val="003230DE"/>
    <w:rsid w:val="00373AD6"/>
    <w:rsid w:val="00377B74"/>
    <w:rsid w:val="003846A3"/>
    <w:rsid w:val="0039329A"/>
    <w:rsid w:val="003C222A"/>
    <w:rsid w:val="003D75F9"/>
    <w:rsid w:val="00405BB8"/>
    <w:rsid w:val="00420CA6"/>
    <w:rsid w:val="00424997"/>
    <w:rsid w:val="00425277"/>
    <w:rsid w:val="00427D33"/>
    <w:rsid w:val="00462968"/>
    <w:rsid w:val="004742E3"/>
    <w:rsid w:val="00482BFA"/>
    <w:rsid w:val="00485192"/>
    <w:rsid w:val="00486ADD"/>
    <w:rsid w:val="004912F5"/>
    <w:rsid w:val="004D4ADD"/>
    <w:rsid w:val="004F2A1D"/>
    <w:rsid w:val="00507707"/>
    <w:rsid w:val="0051183B"/>
    <w:rsid w:val="00512716"/>
    <w:rsid w:val="00517911"/>
    <w:rsid w:val="00526C44"/>
    <w:rsid w:val="00532E7E"/>
    <w:rsid w:val="005435E2"/>
    <w:rsid w:val="00546611"/>
    <w:rsid w:val="00562088"/>
    <w:rsid w:val="00580B6C"/>
    <w:rsid w:val="005A2B69"/>
    <w:rsid w:val="005B649C"/>
    <w:rsid w:val="005C254E"/>
    <w:rsid w:val="005E0D7C"/>
    <w:rsid w:val="005F0D00"/>
    <w:rsid w:val="005F4FA5"/>
    <w:rsid w:val="005F6166"/>
    <w:rsid w:val="005F65CC"/>
    <w:rsid w:val="006055D7"/>
    <w:rsid w:val="00613F5A"/>
    <w:rsid w:val="0062138B"/>
    <w:rsid w:val="00640BCA"/>
    <w:rsid w:val="00673483"/>
    <w:rsid w:val="0067350C"/>
    <w:rsid w:val="00685D1E"/>
    <w:rsid w:val="006865D4"/>
    <w:rsid w:val="006955C6"/>
    <w:rsid w:val="00697EFB"/>
    <w:rsid w:val="006D41D8"/>
    <w:rsid w:val="006E2AAB"/>
    <w:rsid w:val="006E2B07"/>
    <w:rsid w:val="006F78E0"/>
    <w:rsid w:val="007035DB"/>
    <w:rsid w:val="0070471D"/>
    <w:rsid w:val="007124B9"/>
    <w:rsid w:val="00723D90"/>
    <w:rsid w:val="00724963"/>
    <w:rsid w:val="00736B7D"/>
    <w:rsid w:val="0074669A"/>
    <w:rsid w:val="00746E24"/>
    <w:rsid w:val="00751719"/>
    <w:rsid w:val="00761278"/>
    <w:rsid w:val="007632B1"/>
    <w:rsid w:val="007969FD"/>
    <w:rsid w:val="007A1CEB"/>
    <w:rsid w:val="007D5D06"/>
    <w:rsid w:val="007E1E99"/>
    <w:rsid w:val="007E5E88"/>
    <w:rsid w:val="007F1F45"/>
    <w:rsid w:val="007F4528"/>
    <w:rsid w:val="007F6619"/>
    <w:rsid w:val="0082016B"/>
    <w:rsid w:val="0082283B"/>
    <w:rsid w:val="00846BAE"/>
    <w:rsid w:val="008526A4"/>
    <w:rsid w:val="00861251"/>
    <w:rsid w:val="00861F0C"/>
    <w:rsid w:val="0086765C"/>
    <w:rsid w:val="00867F1C"/>
    <w:rsid w:val="00876557"/>
    <w:rsid w:val="00881C7A"/>
    <w:rsid w:val="008A6382"/>
    <w:rsid w:val="008A7EEA"/>
    <w:rsid w:val="008C2A50"/>
    <w:rsid w:val="008D4BF8"/>
    <w:rsid w:val="008E3CA2"/>
    <w:rsid w:val="008E42CD"/>
    <w:rsid w:val="008F55B8"/>
    <w:rsid w:val="00906CB2"/>
    <w:rsid w:val="00914C35"/>
    <w:rsid w:val="00921FBF"/>
    <w:rsid w:val="009224BA"/>
    <w:rsid w:val="009303C2"/>
    <w:rsid w:val="00932B12"/>
    <w:rsid w:val="00943711"/>
    <w:rsid w:val="00967CDF"/>
    <w:rsid w:val="00974D8D"/>
    <w:rsid w:val="00993875"/>
    <w:rsid w:val="009C0E6E"/>
    <w:rsid w:val="009D74EF"/>
    <w:rsid w:val="009D75EC"/>
    <w:rsid w:val="009D7878"/>
    <w:rsid w:val="009E274E"/>
    <w:rsid w:val="009E7B4C"/>
    <w:rsid w:val="00A03524"/>
    <w:rsid w:val="00A07394"/>
    <w:rsid w:val="00A11FF7"/>
    <w:rsid w:val="00A1246D"/>
    <w:rsid w:val="00A14B32"/>
    <w:rsid w:val="00A14C30"/>
    <w:rsid w:val="00A258FF"/>
    <w:rsid w:val="00A327FF"/>
    <w:rsid w:val="00A34BD0"/>
    <w:rsid w:val="00A45A85"/>
    <w:rsid w:val="00A53205"/>
    <w:rsid w:val="00A55719"/>
    <w:rsid w:val="00A55E6C"/>
    <w:rsid w:val="00A73E4F"/>
    <w:rsid w:val="00A879E7"/>
    <w:rsid w:val="00AA34C7"/>
    <w:rsid w:val="00AB0A2B"/>
    <w:rsid w:val="00AC6D27"/>
    <w:rsid w:val="00AD138F"/>
    <w:rsid w:val="00AD2BD3"/>
    <w:rsid w:val="00AD64B7"/>
    <w:rsid w:val="00AF2D1A"/>
    <w:rsid w:val="00AF67B6"/>
    <w:rsid w:val="00AF6866"/>
    <w:rsid w:val="00B07BC0"/>
    <w:rsid w:val="00B31F10"/>
    <w:rsid w:val="00B41632"/>
    <w:rsid w:val="00B4219F"/>
    <w:rsid w:val="00B46AF8"/>
    <w:rsid w:val="00B554CE"/>
    <w:rsid w:val="00B6696E"/>
    <w:rsid w:val="00B66EC2"/>
    <w:rsid w:val="00B7308D"/>
    <w:rsid w:val="00B82A13"/>
    <w:rsid w:val="00BA0E61"/>
    <w:rsid w:val="00BA27AE"/>
    <w:rsid w:val="00BE643A"/>
    <w:rsid w:val="00C0116A"/>
    <w:rsid w:val="00C04006"/>
    <w:rsid w:val="00C13CE5"/>
    <w:rsid w:val="00C52F5B"/>
    <w:rsid w:val="00C8407D"/>
    <w:rsid w:val="00C96DFF"/>
    <w:rsid w:val="00CA3779"/>
    <w:rsid w:val="00CC45C6"/>
    <w:rsid w:val="00CC6AF4"/>
    <w:rsid w:val="00CE15E9"/>
    <w:rsid w:val="00CE7B88"/>
    <w:rsid w:val="00CE7DE0"/>
    <w:rsid w:val="00CF7ADE"/>
    <w:rsid w:val="00D038F1"/>
    <w:rsid w:val="00D0636A"/>
    <w:rsid w:val="00D41409"/>
    <w:rsid w:val="00D53B08"/>
    <w:rsid w:val="00D56E18"/>
    <w:rsid w:val="00DA10A0"/>
    <w:rsid w:val="00DA7BFC"/>
    <w:rsid w:val="00DA7FBC"/>
    <w:rsid w:val="00DD5140"/>
    <w:rsid w:val="00DE089C"/>
    <w:rsid w:val="00DE5FED"/>
    <w:rsid w:val="00DE68E5"/>
    <w:rsid w:val="00DF2FA0"/>
    <w:rsid w:val="00DF5BAD"/>
    <w:rsid w:val="00DF6BE3"/>
    <w:rsid w:val="00E0341E"/>
    <w:rsid w:val="00E2070A"/>
    <w:rsid w:val="00E328B9"/>
    <w:rsid w:val="00E4202C"/>
    <w:rsid w:val="00E47D86"/>
    <w:rsid w:val="00E634E8"/>
    <w:rsid w:val="00E63B06"/>
    <w:rsid w:val="00E70E5A"/>
    <w:rsid w:val="00E71BAE"/>
    <w:rsid w:val="00E75522"/>
    <w:rsid w:val="00E75860"/>
    <w:rsid w:val="00E87493"/>
    <w:rsid w:val="00EA0A54"/>
    <w:rsid w:val="00EA7752"/>
    <w:rsid w:val="00EA777C"/>
    <w:rsid w:val="00EB2AAC"/>
    <w:rsid w:val="00EB52DB"/>
    <w:rsid w:val="00EC31C8"/>
    <w:rsid w:val="00EC49D2"/>
    <w:rsid w:val="00EC5D36"/>
    <w:rsid w:val="00EE6AE4"/>
    <w:rsid w:val="00EF38D0"/>
    <w:rsid w:val="00EF56ED"/>
    <w:rsid w:val="00F01262"/>
    <w:rsid w:val="00F12ABB"/>
    <w:rsid w:val="00F13C38"/>
    <w:rsid w:val="00F14137"/>
    <w:rsid w:val="00F179F7"/>
    <w:rsid w:val="00F21044"/>
    <w:rsid w:val="00F3124B"/>
    <w:rsid w:val="00F337A8"/>
    <w:rsid w:val="00F373A2"/>
    <w:rsid w:val="00F73F7F"/>
    <w:rsid w:val="00F8687C"/>
    <w:rsid w:val="00F87B63"/>
    <w:rsid w:val="00F96850"/>
    <w:rsid w:val="00F97D0B"/>
    <w:rsid w:val="00FC0495"/>
    <w:rsid w:val="00FC60D5"/>
    <w:rsid w:val="00FD0161"/>
    <w:rsid w:val="00FD1852"/>
    <w:rsid w:val="00FE11A0"/>
    <w:rsid w:val="00FE11BE"/>
    <w:rsid w:val="00FE69AA"/>
    <w:rsid w:val="00FE69FE"/>
    <w:rsid w:val="00FF0D1B"/>
    <w:rsid w:val="00FF35C6"/>
    <w:rsid w:val="00FF6670"/>
    <w:rsid w:val="00FF679D"/>
    <w:rsid w:val="0422D640"/>
    <w:rsid w:val="3F06FB95"/>
    <w:rsid w:val="5783CA27"/>
    <w:rsid w:val="6310257D"/>
    <w:rsid w:val="6899C2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50A55"/>
  <w15:chartTrackingRefBased/>
  <w15:docId w15:val="{D4D53915-274A-4BA2-BD36-109C8194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C38"/>
    <w:pPr>
      <w:widowControl w:val="0"/>
      <w:wordWrap w:val="0"/>
      <w:autoSpaceDE w:val="0"/>
      <w:autoSpaceDN w:val="0"/>
    </w:pPr>
  </w:style>
  <w:style w:type="paragraph" w:styleId="Ttulo1">
    <w:name w:val="heading 1"/>
    <w:basedOn w:val="Normal"/>
    <w:next w:val="Normal"/>
    <w:link w:val="Ttulo1Car"/>
    <w:uiPriority w:val="9"/>
    <w:qFormat/>
    <w:rsid w:val="000930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35F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E5E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link w:val="Ttulo4Car"/>
    <w:uiPriority w:val="9"/>
    <w:qFormat/>
    <w:rsid w:val="00486ADD"/>
    <w:pPr>
      <w:widowControl/>
      <w:wordWrap/>
      <w:autoSpaceDE/>
      <w:autoSpaceDN/>
      <w:spacing w:before="100" w:beforeAutospacing="1" w:after="100" w:afterAutospacing="1" w:line="240" w:lineRule="auto"/>
      <w:jc w:val="left"/>
      <w:outlineLvl w:val="3"/>
    </w:pPr>
    <w:rPr>
      <w:rFonts w:ascii="Gulim" w:eastAsia="Gulim" w:hAnsi="Gulim" w:cs="Gulim"/>
      <w:b/>
      <w:bCs/>
      <w:kern w:val="0"/>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67DAB"/>
    <w:pPr>
      <w:tabs>
        <w:tab w:val="center" w:pos="4513"/>
        <w:tab w:val="right" w:pos="9026"/>
      </w:tabs>
      <w:snapToGrid w:val="0"/>
    </w:pPr>
  </w:style>
  <w:style w:type="character" w:customStyle="1" w:styleId="EncabezadoCar">
    <w:name w:val="Encabezado Car"/>
    <w:basedOn w:val="Fuentedeprrafopredeter"/>
    <w:link w:val="Encabezado"/>
    <w:uiPriority w:val="99"/>
    <w:rsid w:val="00267DAB"/>
  </w:style>
  <w:style w:type="paragraph" w:styleId="Piedepgina">
    <w:name w:val="footer"/>
    <w:basedOn w:val="Normal"/>
    <w:link w:val="PiedepginaCar"/>
    <w:uiPriority w:val="99"/>
    <w:unhideWhenUsed/>
    <w:rsid w:val="00267DAB"/>
    <w:pPr>
      <w:tabs>
        <w:tab w:val="center" w:pos="4513"/>
        <w:tab w:val="right" w:pos="9026"/>
      </w:tabs>
      <w:snapToGrid w:val="0"/>
    </w:pPr>
  </w:style>
  <w:style w:type="character" w:customStyle="1" w:styleId="PiedepginaCar">
    <w:name w:val="Pie de página Car"/>
    <w:basedOn w:val="Fuentedeprrafopredeter"/>
    <w:link w:val="Piedepgina"/>
    <w:uiPriority w:val="99"/>
    <w:rsid w:val="00267DAB"/>
  </w:style>
  <w:style w:type="character" w:styleId="Hipervnculo">
    <w:name w:val="Hyperlink"/>
    <w:basedOn w:val="Fuentedeprrafopredeter"/>
    <w:uiPriority w:val="99"/>
    <w:unhideWhenUsed/>
    <w:rsid w:val="00EC31C8"/>
    <w:rPr>
      <w:color w:val="0563C1" w:themeColor="hyperlink"/>
      <w:u w:val="single"/>
    </w:rPr>
  </w:style>
  <w:style w:type="paragraph" w:styleId="Textodeglobo">
    <w:name w:val="Balloon Text"/>
    <w:basedOn w:val="Normal"/>
    <w:link w:val="TextodegloboCar"/>
    <w:uiPriority w:val="99"/>
    <w:semiHidden/>
    <w:unhideWhenUsed/>
    <w:rsid w:val="009C0E6E"/>
    <w:pPr>
      <w:spacing w:after="0" w:line="240" w:lineRule="auto"/>
    </w:pPr>
    <w:rPr>
      <w:rFonts w:asciiTheme="majorHAnsi" w:eastAsiaTheme="majorEastAsia" w:hAnsiTheme="majorHAnsi" w:cstheme="majorBidi"/>
      <w:sz w:val="18"/>
      <w:szCs w:val="18"/>
    </w:rPr>
  </w:style>
  <w:style w:type="character" w:customStyle="1" w:styleId="TextodegloboCar">
    <w:name w:val="Texto de globo Car"/>
    <w:basedOn w:val="Fuentedeprrafopredeter"/>
    <w:link w:val="Textodeglobo"/>
    <w:uiPriority w:val="99"/>
    <w:semiHidden/>
    <w:rsid w:val="009C0E6E"/>
    <w:rPr>
      <w:rFonts w:asciiTheme="majorHAnsi" w:eastAsiaTheme="majorEastAsia" w:hAnsiTheme="majorHAnsi" w:cstheme="majorBidi"/>
      <w:sz w:val="18"/>
      <w:szCs w:val="18"/>
    </w:rPr>
  </w:style>
  <w:style w:type="paragraph" w:styleId="NormalWeb">
    <w:name w:val="Normal (Web)"/>
    <w:basedOn w:val="Normal"/>
    <w:uiPriority w:val="99"/>
    <w:semiHidden/>
    <w:unhideWhenUsed/>
    <w:rsid w:val="000A69E1"/>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Ttulo4Car">
    <w:name w:val="Título 4 Car"/>
    <w:basedOn w:val="Fuentedeprrafopredeter"/>
    <w:link w:val="Ttulo4"/>
    <w:uiPriority w:val="9"/>
    <w:rsid w:val="00486ADD"/>
    <w:rPr>
      <w:rFonts w:ascii="Gulim" w:eastAsia="Gulim" w:hAnsi="Gulim" w:cs="Gulim"/>
      <w:b/>
      <w:bCs/>
      <w:kern w:val="0"/>
      <w:sz w:val="24"/>
      <w:szCs w:val="24"/>
    </w:rPr>
  </w:style>
  <w:style w:type="character" w:customStyle="1" w:styleId="Ttulo3Car">
    <w:name w:val="Título 3 Car"/>
    <w:basedOn w:val="Fuentedeprrafopredeter"/>
    <w:link w:val="Ttulo3"/>
    <w:uiPriority w:val="9"/>
    <w:rsid w:val="007E5E88"/>
    <w:rPr>
      <w:rFonts w:asciiTheme="majorHAnsi" w:eastAsiaTheme="majorEastAsia" w:hAnsiTheme="majorHAnsi" w:cstheme="majorBidi"/>
      <w:color w:val="1F4D78" w:themeColor="accent1" w:themeShade="7F"/>
      <w:sz w:val="24"/>
      <w:szCs w:val="24"/>
    </w:rPr>
  </w:style>
  <w:style w:type="character" w:customStyle="1" w:styleId="Ttulo2Car">
    <w:name w:val="Título 2 Car"/>
    <w:basedOn w:val="Fuentedeprrafopredeter"/>
    <w:link w:val="Ttulo2"/>
    <w:uiPriority w:val="9"/>
    <w:rsid w:val="00035FD2"/>
    <w:rPr>
      <w:rFonts w:asciiTheme="majorHAnsi" w:eastAsiaTheme="majorEastAsia" w:hAnsiTheme="majorHAnsi" w:cstheme="majorBidi"/>
      <w:color w:val="2E74B5" w:themeColor="accent1" w:themeShade="BF"/>
      <w:sz w:val="26"/>
      <w:szCs w:val="26"/>
    </w:rPr>
  </w:style>
  <w:style w:type="paragraph" w:styleId="Ttulo">
    <w:name w:val="Title"/>
    <w:basedOn w:val="Normal"/>
    <w:next w:val="Normal"/>
    <w:link w:val="TtuloCar"/>
    <w:uiPriority w:val="10"/>
    <w:qFormat/>
    <w:rsid w:val="00A45A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5A85"/>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FF35C6"/>
    <w:rPr>
      <w:i/>
      <w:iCs/>
      <w:color w:val="404040" w:themeColor="text1" w:themeTint="BF"/>
    </w:rPr>
  </w:style>
  <w:style w:type="character" w:styleId="Mencinsinresolver">
    <w:name w:val="Unresolved Mention"/>
    <w:basedOn w:val="Fuentedeprrafopredeter"/>
    <w:uiPriority w:val="99"/>
    <w:semiHidden/>
    <w:unhideWhenUsed/>
    <w:rsid w:val="00F96850"/>
    <w:rPr>
      <w:color w:val="605E5C"/>
      <w:shd w:val="clear" w:color="auto" w:fill="E1DFDD"/>
    </w:rPr>
  </w:style>
  <w:style w:type="character" w:styleId="Hipervnculovisitado">
    <w:name w:val="FollowedHyperlink"/>
    <w:basedOn w:val="Fuentedeprrafopredeter"/>
    <w:uiPriority w:val="99"/>
    <w:semiHidden/>
    <w:unhideWhenUsed/>
    <w:rsid w:val="00B7308D"/>
    <w:rPr>
      <w:color w:val="954F72" w:themeColor="followedHyperlink"/>
      <w:u w:val="single"/>
    </w:rPr>
  </w:style>
  <w:style w:type="character" w:customStyle="1" w:styleId="text-18">
    <w:name w:val="text-18"/>
    <w:basedOn w:val="Fuentedeprrafopredeter"/>
    <w:rsid w:val="0067350C"/>
  </w:style>
  <w:style w:type="paragraph" w:styleId="Prrafodelista">
    <w:name w:val="List Paragraph"/>
    <w:basedOn w:val="Normal"/>
    <w:uiPriority w:val="34"/>
    <w:qFormat/>
    <w:rsid w:val="0067350C"/>
    <w:pPr>
      <w:ind w:left="720"/>
      <w:contextualSpacing/>
    </w:pPr>
  </w:style>
  <w:style w:type="character" w:customStyle="1" w:styleId="Ttulo1Car">
    <w:name w:val="Título 1 Car"/>
    <w:basedOn w:val="Fuentedeprrafopredeter"/>
    <w:link w:val="Ttulo1"/>
    <w:uiPriority w:val="9"/>
    <w:rsid w:val="00093075"/>
    <w:rPr>
      <w:rFonts w:asciiTheme="majorHAnsi" w:eastAsiaTheme="majorEastAsia" w:hAnsiTheme="majorHAnsi" w:cstheme="majorBidi"/>
      <w:color w:val="2E74B5" w:themeColor="accent1" w:themeShade="BF"/>
      <w:sz w:val="32"/>
      <w:szCs w:val="32"/>
    </w:rPr>
  </w:style>
  <w:style w:type="paragraph" w:styleId="Subttulo">
    <w:name w:val="Subtitle"/>
    <w:basedOn w:val="Normal"/>
    <w:next w:val="Normal"/>
    <w:link w:val="SubttuloCar"/>
    <w:uiPriority w:val="11"/>
    <w:qFormat/>
    <w:rsid w:val="00E634E8"/>
    <w:pPr>
      <w:numPr>
        <w:ilvl w:val="1"/>
      </w:numPr>
    </w:pPr>
    <w:rPr>
      <w:color w:val="5A5A5A" w:themeColor="text1" w:themeTint="A5"/>
      <w:spacing w:val="15"/>
      <w:sz w:val="22"/>
    </w:rPr>
  </w:style>
  <w:style w:type="character" w:customStyle="1" w:styleId="SubttuloCar">
    <w:name w:val="Subtítulo Car"/>
    <w:basedOn w:val="Fuentedeprrafopredeter"/>
    <w:link w:val="Subttulo"/>
    <w:uiPriority w:val="11"/>
    <w:rsid w:val="00E634E8"/>
    <w:rPr>
      <w:color w:val="5A5A5A" w:themeColor="text1" w:themeTint="A5"/>
      <w:spacing w:val="1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610">
      <w:bodyDiv w:val="1"/>
      <w:marLeft w:val="0"/>
      <w:marRight w:val="0"/>
      <w:marTop w:val="0"/>
      <w:marBottom w:val="0"/>
      <w:divBdr>
        <w:top w:val="none" w:sz="0" w:space="0" w:color="auto"/>
        <w:left w:val="none" w:sz="0" w:space="0" w:color="auto"/>
        <w:bottom w:val="none" w:sz="0" w:space="0" w:color="auto"/>
        <w:right w:val="none" w:sz="0" w:space="0" w:color="auto"/>
      </w:divBdr>
    </w:div>
    <w:div w:id="126700218">
      <w:bodyDiv w:val="1"/>
      <w:marLeft w:val="0"/>
      <w:marRight w:val="0"/>
      <w:marTop w:val="0"/>
      <w:marBottom w:val="0"/>
      <w:divBdr>
        <w:top w:val="none" w:sz="0" w:space="0" w:color="auto"/>
        <w:left w:val="none" w:sz="0" w:space="0" w:color="auto"/>
        <w:bottom w:val="none" w:sz="0" w:space="0" w:color="auto"/>
        <w:right w:val="none" w:sz="0" w:space="0" w:color="auto"/>
      </w:divBdr>
    </w:div>
    <w:div w:id="439187121">
      <w:bodyDiv w:val="1"/>
      <w:marLeft w:val="0"/>
      <w:marRight w:val="0"/>
      <w:marTop w:val="0"/>
      <w:marBottom w:val="0"/>
      <w:divBdr>
        <w:top w:val="none" w:sz="0" w:space="0" w:color="auto"/>
        <w:left w:val="none" w:sz="0" w:space="0" w:color="auto"/>
        <w:bottom w:val="none" w:sz="0" w:space="0" w:color="auto"/>
        <w:right w:val="none" w:sz="0" w:space="0" w:color="auto"/>
      </w:divBdr>
    </w:div>
    <w:div w:id="472452941">
      <w:bodyDiv w:val="1"/>
      <w:marLeft w:val="0"/>
      <w:marRight w:val="0"/>
      <w:marTop w:val="0"/>
      <w:marBottom w:val="0"/>
      <w:divBdr>
        <w:top w:val="none" w:sz="0" w:space="0" w:color="auto"/>
        <w:left w:val="none" w:sz="0" w:space="0" w:color="auto"/>
        <w:bottom w:val="none" w:sz="0" w:space="0" w:color="auto"/>
        <w:right w:val="none" w:sz="0" w:space="0" w:color="auto"/>
      </w:divBdr>
    </w:div>
    <w:div w:id="493884142">
      <w:bodyDiv w:val="1"/>
      <w:marLeft w:val="0"/>
      <w:marRight w:val="0"/>
      <w:marTop w:val="0"/>
      <w:marBottom w:val="0"/>
      <w:divBdr>
        <w:top w:val="none" w:sz="0" w:space="0" w:color="auto"/>
        <w:left w:val="none" w:sz="0" w:space="0" w:color="auto"/>
        <w:bottom w:val="none" w:sz="0" w:space="0" w:color="auto"/>
        <w:right w:val="none" w:sz="0" w:space="0" w:color="auto"/>
      </w:divBdr>
    </w:div>
    <w:div w:id="689378689">
      <w:bodyDiv w:val="1"/>
      <w:marLeft w:val="0"/>
      <w:marRight w:val="0"/>
      <w:marTop w:val="0"/>
      <w:marBottom w:val="0"/>
      <w:divBdr>
        <w:top w:val="none" w:sz="0" w:space="0" w:color="auto"/>
        <w:left w:val="none" w:sz="0" w:space="0" w:color="auto"/>
        <w:bottom w:val="none" w:sz="0" w:space="0" w:color="auto"/>
        <w:right w:val="none" w:sz="0" w:space="0" w:color="auto"/>
      </w:divBdr>
    </w:div>
    <w:div w:id="713307187">
      <w:bodyDiv w:val="1"/>
      <w:marLeft w:val="0"/>
      <w:marRight w:val="0"/>
      <w:marTop w:val="0"/>
      <w:marBottom w:val="0"/>
      <w:divBdr>
        <w:top w:val="none" w:sz="0" w:space="0" w:color="auto"/>
        <w:left w:val="none" w:sz="0" w:space="0" w:color="auto"/>
        <w:bottom w:val="none" w:sz="0" w:space="0" w:color="auto"/>
        <w:right w:val="none" w:sz="0" w:space="0" w:color="auto"/>
      </w:divBdr>
    </w:div>
    <w:div w:id="742140293">
      <w:bodyDiv w:val="1"/>
      <w:marLeft w:val="0"/>
      <w:marRight w:val="0"/>
      <w:marTop w:val="0"/>
      <w:marBottom w:val="0"/>
      <w:divBdr>
        <w:top w:val="none" w:sz="0" w:space="0" w:color="auto"/>
        <w:left w:val="none" w:sz="0" w:space="0" w:color="auto"/>
        <w:bottom w:val="none" w:sz="0" w:space="0" w:color="auto"/>
        <w:right w:val="none" w:sz="0" w:space="0" w:color="auto"/>
      </w:divBdr>
    </w:div>
    <w:div w:id="766921126">
      <w:bodyDiv w:val="1"/>
      <w:marLeft w:val="0"/>
      <w:marRight w:val="0"/>
      <w:marTop w:val="0"/>
      <w:marBottom w:val="0"/>
      <w:divBdr>
        <w:top w:val="none" w:sz="0" w:space="0" w:color="auto"/>
        <w:left w:val="none" w:sz="0" w:space="0" w:color="auto"/>
        <w:bottom w:val="none" w:sz="0" w:space="0" w:color="auto"/>
        <w:right w:val="none" w:sz="0" w:space="0" w:color="auto"/>
      </w:divBdr>
    </w:div>
    <w:div w:id="847865050">
      <w:bodyDiv w:val="1"/>
      <w:marLeft w:val="0"/>
      <w:marRight w:val="0"/>
      <w:marTop w:val="0"/>
      <w:marBottom w:val="0"/>
      <w:divBdr>
        <w:top w:val="none" w:sz="0" w:space="0" w:color="auto"/>
        <w:left w:val="none" w:sz="0" w:space="0" w:color="auto"/>
        <w:bottom w:val="none" w:sz="0" w:space="0" w:color="auto"/>
        <w:right w:val="none" w:sz="0" w:space="0" w:color="auto"/>
      </w:divBdr>
    </w:div>
    <w:div w:id="874122888">
      <w:bodyDiv w:val="1"/>
      <w:marLeft w:val="0"/>
      <w:marRight w:val="0"/>
      <w:marTop w:val="0"/>
      <w:marBottom w:val="0"/>
      <w:divBdr>
        <w:top w:val="none" w:sz="0" w:space="0" w:color="auto"/>
        <w:left w:val="none" w:sz="0" w:space="0" w:color="auto"/>
        <w:bottom w:val="none" w:sz="0" w:space="0" w:color="auto"/>
        <w:right w:val="none" w:sz="0" w:space="0" w:color="auto"/>
      </w:divBdr>
    </w:div>
    <w:div w:id="882331613">
      <w:bodyDiv w:val="1"/>
      <w:marLeft w:val="0"/>
      <w:marRight w:val="0"/>
      <w:marTop w:val="0"/>
      <w:marBottom w:val="0"/>
      <w:divBdr>
        <w:top w:val="none" w:sz="0" w:space="0" w:color="auto"/>
        <w:left w:val="none" w:sz="0" w:space="0" w:color="auto"/>
        <w:bottom w:val="none" w:sz="0" w:space="0" w:color="auto"/>
        <w:right w:val="none" w:sz="0" w:space="0" w:color="auto"/>
      </w:divBdr>
    </w:div>
    <w:div w:id="919407388">
      <w:bodyDiv w:val="1"/>
      <w:marLeft w:val="0"/>
      <w:marRight w:val="0"/>
      <w:marTop w:val="0"/>
      <w:marBottom w:val="0"/>
      <w:divBdr>
        <w:top w:val="none" w:sz="0" w:space="0" w:color="auto"/>
        <w:left w:val="none" w:sz="0" w:space="0" w:color="auto"/>
        <w:bottom w:val="none" w:sz="0" w:space="0" w:color="auto"/>
        <w:right w:val="none" w:sz="0" w:space="0" w:color="auto"/>
      </w:divBdr>
    </w:div>
    <w:div w:id="942876787">
      <w:bodyDiv w:val="1"/>
      <w:marLeft w:val="0"/>
      <w:marRight w:val="0"/>
      <w:marTop w:val="0"/>
      <w:marBottom w:val="0"/>
      <w:divBdr>
        <w:top w:val="none" w:sz="0" w:space="0" w:color="auto"/>
        <w:left w:val="none" w:sz="0" w:space="0" w:color="auto"/>
        <w:bottom w:val="none" w:sz="0" w:space="0" w:color="auto"/>
        <w:right w:val="none" w:sz="0" w:space="0" w:color="auto"/>
      </w:divBdr>
    </w:div>
    <w:div w:id="1026441741">
      <w:bodyDiv w:val="1"/>
      <w:marLeft w:val="0"/>
      <w:marRight w:val="0"/>
      <w:marTop w:val="0"/>
      <w:marBottom w:val="0"/>
      <w:divBdr>
        <w:top w:val="none" w:sz="0" w:space="0" w:color="auto"/>
        <w:left w:val="none" w:sz="0" w:space="0" w:color="auto"/>
        <w:bottom w:val="none" w:sz="0" w:space="0" w:color="auto"/>
        <w:right w:val="none" w:sz="0" w:space="0" w:color="auto"/>
      </w:divBdr>
    </w:div>
    <w:div w:id="1320232868">
      <w:bodyDiv w:val="1"/>
      <w:marLeft w:val="0"/>
      <w:marRight w:val="0"/>
      <w:marTop w:val="0"/>
      <w:marBottom w:val="0"/>
      <w:divBdr>
        <w:top w:val="none" w:sz="0" w:space="0" w:color="auto"/>
        <w:left w:val="none" w:sz="0" w:space="0" w:color="auto"/>
        <w:bottom w:val="none" w:sz="0" w:space="0" w:color="auto"/>
        <w:right w:val="none" w:sz="0" w:space="0" w:color="auto"/>
      </w:divBdr>
    </w:div>
    <w:div w:id="1372732447">
      <w:bodyDiv w:val="1"/>
      <w:marLeft w:val="0"/>
      <w:marRight w:val="0"/>
      <w:marTop w:val="0"/>
      <w:marBottom w:val="0"/>
      <w:divBdr>
        <w:top w:val="none" w:sz="0" w:space="0" w:color="auto"/>
        <w:left w:val="none" w:sz="0" w:space="0" w:color="auto"/>
        <w:bottom w:val="none" w:sz="0" w:space="0" w:color="auto"/>
        <w:right w:val="none" w:sz="0" w:space="0" w:color="auto"/>
      </w:divBdr>
    </w:div>
    <w:div w:id="1417896343">
      <w:bodyDiv w:val="1"/>
      <w:marLeft w:val="0"/>
      <w:marRight w:val="0"/>
      <w:marTop w:val="0"/>
      <w:marBottom w:val="0"/>
      <w:divBdr>
        <w:top w:val="none" w:sz="0" w:space="0" w:color="auto"/>
        <w:left w:val="none" w:sz="0" w:space="0" w:color="auto"/>
        <w:bottom w:val="none" w:sz="0" w:space="0" w:color="auto"/>
        <w:right w:val="none" w:sz="0" w:space="0" w:color="auto"/>
      </w:divBdr>
    </w:div>
    <w:div w:id="1434979982">
      <w:bodyDiv w:val="1"/>
      <w:marLeft w:val="0"/>
      <w:marRight w:val="0"/>
      <w:marTop w:val="0"/>
      <w:marBottom w:val="0"/>
      <w:divBdr>
        <w:top w:val="none" w:sz="0" w:space="0" w:color="auto"/>
        <w:left w:val="none" w:sz="0" w:space="0" w:color="auto"/>
        <w:bottom w:val="none" w:sz="0" w:space="0" w:color="auto"/>
        <w:right w:val="none" w:sz="0" w:space="0" w:color="auto"/>
      </w:divBdr>
    </w:div>
    <w:div w:id="1455254334">
      <w:bodyDiv w:val="1"/>
      <w:marLeft w:val="0"/>
      <w:marRight w:val="0"/>
      <w:marTop w:val="0"/>
      <w:marBottom w:val="0"/>
      <w:divBdr>
        <w:top w:val="none" w:sz="0" w:space="0" w:color="auto"/>
        <w:left w:val="none" w:sz="0" w:space="0" w:color="auto"/>
        <w:bottom w:val="none" w:sz="0" w:space="0" w:color="auto"/>
        <w:right w:val="none" w:sz="0" w:space="0" w:color="auto"/>
      </w:divBdr>
    </w:div>
    <w:div w:id="1550915072">
      <w:bodyDiv w:val="1"/>
      <w:marLeft w:val="0"/>
      <w:marRight w:val="0"/>
      <w:marTop w:val="0"/>
      <w:marBottom w:val="0"/>
      <w:divBdr>
        <w:top w:val="none" w:sz="0" w:space="0" w:color="auto"/>
        <w:left w:val="none" w:sz="0" w:space="0" w:color="auto"/>
        <w:bottom w:val="none" w:sz="0" w:space="0" w:color="auto"/>
        <w:right w:val="none" w:sz="0" w:space="0" w:color="auto"/>
      </w:divBdr>
    </w:div>
    <w:div w:id="1586454413">
      <w:bodyDiv w:val="1"/>
      <w:marLeft w:val="0"/>
      <w:marRight w:val="0"/>
      <w:marTop w:val="0"/>
      <w:marBottom w:val="0"/>
      <w:divBdr>
        <w:top w:val="none" w:sz="0" w:space="0" w:color="auto"/>
        <w:left w:val="none" w:sz="0" w:space="0" w:color="auto"/>
        <w:bottom w:val="none" w:sz="0" w:space="0" w:color="auto"/>
        <w:right w:val="none" w:sz="0" w:space="0" w:color="auto"/>
      </w:divBdr>
    </w:div>
    <w:div w:id="1702777433">
      <w:bodyDiv w:val="1"/>
      <w:marLeft w:val="0"/>
      <w:marRight w:val="0"/>
      <w:marTop w:val="0"/>
      <w:marBottom w:val="0"/>
      <w:divBdr>
        <w:top w:val="none" w:sz="0" w:space="0" w:color="auto"/>
        <w:left w:val="none" w:sz="0" w:space="0" w:color="auto"/>
        <w:bottom w:val="none" w:sz="0" w:space="0" w:color="auto"/>
        <w:right w:val="none" w:sz="0" w:space="0" w:color="auto"/>
      </w:divBdr>
    </w:div>
    <w:div w:id="1821338533">
      <w:bodyDiv w:val="1"/>
      <w:marLeft w:val="0"/>
      <w:marRight w:val="0"/>
      <w:marTop w:val="0"/>
      <w:marBottom w:val="0"/>
      <w:divBdr>
        <w:top w:val="none" w:sz="0" w:space="0" w:color="auto"/>
        <w:left w:val="none" w:sz="0" w:space="0" w:color="auto"/>
        <w:bottom w:val="none" w:sz="0" w:space="0" w:color="auto"/>
        <w:right w:val="none" w:sz="0" w:space="0" w:color="auto"/>
      </w:divBdr>
    </w:div>
    <w:div w:id="1928688088">
      <w:bodyDiv w:val="1"/>
      <w:marLeft w:val="0"/>
      <w:marRight w:val="0"/>
      <w:marTop w:val="0"/>
      <w:marBottom w:val="0"/>
      <w:divBdr>
        <w:top w:val="none" w:sz="0" w:space="0" w:color="auto"/>
        <w:left w:val="none" w:sz="0" w:space="0" w:color="auto"/>
        <w:bottom w:val="none" w:sz="0" w:space="0" w:color="auto"/>
        <w:right w:val="none" w:sz="0" w:space="0" w:color="auto"/>
      </w:divBdr>
    </w:div>
    <w:div w:id="1996033908">
      <w:bodyDiv w:val="1"/>
      <w:marLeft w:val="0"/>
      <w:marRight w:val="0"/>
      <w:marTop w:val="0"/>
      <w:marBottom w:val="0"/>
      <w:divBdr>
        <w:top w:val="none" w:sz="0" w:space="0" w:color="auto"/>
        <w:left w:val="none" w:sz="0" w:space="0" w:color="auto"/>
        <w:bottom w:val="none" w:sz="0" w:space="0" w:color="auto"/>
        <w:right w:val="none" w:sz="0" w:space="0" w:color="auto"/>
      </w:divBdr>
    </w:div>
    <w:div w:id="2004893330">
      <w:bodyDiv w:val="1"/>
      <w:marLeft w:val="0"/>
      <w:marRight w:val="0"/>
      <w:marTop w:val="0"/>
      <w:marBottom w:val="0"/>
      <w:divBdr>
        <w:top w:val="none" w:sz="0" w:space="0" w:color="auto"/>
        <w:left w:val="none" w:sz="0" w:space="0" w:color="auto"/>
        <w:bottom w:val="none" w:sz="0" w:space="0" w:color="auto"/>
        <w:right w:val="none" w:sz="0" w:space="0" w:color="auto"/>
      </w:divBdr>
    </w:div>
    <w:div w:id="2126191296">
      <w:bodyDiv w:val="1"/>
      <w:marLeft w:val="0"/>
      <w:marRight w:val="0"/>
      <w:marTop w:val="0"/>
      <w:marBottom w:val="0"/>
      <w:divBdr>
        <w:top w:val="none" w:sz="0" w:space="0" w:color="auto"/>
        <w:left w:val="none" w:sz="0" w:space="0" w:color="auto"/>
        <w:bottom w:val="none" w:sz="0" w:space="0" w:color="auto"/>
        <w:right w:val="none" w:sz="0" w:space="0" w:color="auto"/>
      </w:divBdr>
    </w:div>
    <w:div w:id="213759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A2438-64B9-481D-9431-D0277A6399EC}">
  <ds:schemaRefs>
    <ds:schemaRef ds:uri="http://schemas.openxmlformats.org/officeDocument/2006/bibliography"/>
  </ds:schemaRefs>
</ds:datastoreItem>
</file>

<file path=customXml/itemProps2.xml><?xml version="1.0" encoding="utf-8"?>
<ds:datastoreItem xmlns:ds="http://schemas.openxmlformats.org/officeDocument/2006/customXml" ds:itemID="{E25424C7-BBB5-403E-8E3E-EF27FB42F9AB}">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1DDB9164-2B6D-45EA-BE54-2656A7C84DF8}">
  <ds:schemaRefs>
    <ds:schemaRef ds:uri="http://schemas.microsoft.com/sharepoint/v3/contenttype/forms"/>
  </ds:schemaRefs>
</ds:datastoreItem>
</file>

<file path=customXml/itemProps4.xml><?xml version="1.0" encoding="utf-8"?>
<ds:datastoreItem xmlns:ds="http://schemas.openxmlformats.org/officeDocument/2006/customXml" ds:itemID="{6C718ABC-A4C2-498A-82C6-85EB7C326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b62a-f97d-4e27-8a79-b2c30228b78d"/>
    <ds:schemaRef ds:uri="877e4dda-f991-41a3-84db-35a976faa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901</Words>
  <Characters>4956</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JoMinHee</dc:creator>
  <cp:keywords/>
  <dc:description/>
  <cp:lastModifiedBy>Marketing</cp:lastModifiedBy>
  <cp:revision>82</cp:revision>
  <cp:lastPrinted>2023-08-29T14:18:00Z</cp:lastPrinted>
  <dcterms:created xsi:type="dcterms:W3CDTF">2025-05-30T07:52:00Z</dcterms:created>
  <dcterms:modified xsi:type="dcterms:W3CDTF">2026-09-01T07:57:00Z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898df390-2c04-43df-a68a-c0dbd4f9e770</vt:lpwstr>
  </property>
  <property fmtid="{D5CDD505-2E9C-101B-9397-08002B2CF9AE}" pid="3" name="ContentTypeId">
    <vt:lpwstr>0x010100BE40F9E4686AAB4F8179A0674F8D61F5</vt:lpwstr>
  </property>
  <property fmtid="{D5CDD505-2E9C-101B-9397-08002B2CF9AE}" pid="4" name="MediaServiceImageTags">
    <vt:lpwstr/>
  </property>
  <property fmtid="{D5CDD505-2E9C-101B-9397-08002B2CF9AE}" pid="5" name="Peso archivo">
    <vt:lpwstr/>
  </property>
  <property fmtid="{D5CDD505-2E9C-101B-9397-08002B2CF9AE}" pid="6" name="Peso_x0020_archivo">
    <vt:lpwstr/>
  </property>
</Properties>
</file>